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C77" w:rsidRPr="00750C56" w:rsidRDefault="00000C77" w:rsidP="00000C77">
      <w:pPr>
        <w:pStyle w:val="Rientrocorpodeltesto"/>
        <w:spacing w:after="0" w:line="276" w:lineRule="auto"/>
        <w:ind w:left="0"/>
        <w:jc w:val="center"/>
        <w:rPr>
          <w:rFonts w:ascii="Tahoma" w:hAnsi="Tahoma" w:cs="Tahoma"/>
          <w:b/>
          <w:sz w:val="22"/>
          <w:szCs w:val="22"/>
        </w:rPr>
      </w:pPr>
      <w:bookmarkStart w:id="0" w:name="_GoBack"/>
      <w:bookmarkEnd w:id="0"/>
      <w:r w:rsidRPr="00750C56">
        <w:rPr>
          <w:rFonts w:ascii="Tahoma" w:hAnsi="Tahoma" w:cs="Tahoma"/>
          <w:b/>
          <w:sz w:val="22"/>
          <w:szCs w:val="22"/>
        </w:rPr>
        <w:t>C.N.P.A.D.C.</w:t>
      </w:r>
    </w:p>
    <w:p w:rsidR="003C5890" w:rsidRPr="00750C56" w:rsidRDefault="00000C77" w:rsidP="00000C77">
      <w:pPr>
        <w:pStyle w:val="Rientrocorpodeltesto"/>
        <w:spacing w:after="0" w:line="360" w:lineRule="auto"/>
        <w:ind w:left="0"/>
        <w:jc w:val="center"/>
        <w:rPr>
          <w:rFonts w:ascii="Tahoma" w:hAnsi="Tahoma" w:cs="Tahoma"/>
          <w:b/>
          <w:sz w:val="22"/>
          <w:szCs w:val="22"/>
        </w:rPr>
      </w:pPr>
      <w:r w:rsidRPr="00750C56">
        <w:rPr>
          <w:rFonts w:ascii="Tahoma" w:hAnsi="Tahoma" w:cs="Tahoma"/>
          <w:b/>
          <w:sz w:val="22"/>
          <w:szCs w:val="22"/>
        </w:rPr>
        <w:t>CASSA NAZIONALE DI PREVIDENZA E ASSISTENZA A FAVORE DEI DOTTORI COMMERCIALISTI</w:t>
      </w:r>
    </w:p>
    <w:p w:rsidR="00000C77" w:rsidRPr="00750C56" w:rsidRDefault="00000C77" w:rsidP="00000C77">
      <w:pPr>
        <w:pStyle w:val="Rientrocorpodeltesto"/>
        <w:spacing w:before="240" w:after="0" w:line="276" w:lineRule="auto"/>
        <w:ind w:left="0"/>
        <w:jc w:val="center"/>
        <w:rPr>
          <w:rFonts w:ascii="Tahoma" w:hAnsi="Tahoma" w:cs="Tahoma"/>
          <w:b/>
          <w:sz w:val="22"/>
          <w:szCs w:val="22"/>
        </w:rPr>
      </w:pPr>
      <w:r w:rsidRPr="00750C56">
        <w:rPr>
          <w:rFonts w:ascii="Tahoma" w:hAnsi="Tahoma" w:cs="Tahoma"/>
          <w:b/>
          <w:sz w:val="22"/>
          <w:szCs w:val="22"/>
        </w:rPr>
        <w:t>BANDO DI GARA</w:t>
      </w:r>
    </w:p>
    <w:p w:rsidR="003C5890" w:rsidRPr="00750C56" w:rsidRDefault="003C5890" w:rsidP="008E1F2C">
      <w:pPr>
        <w:autoSpaceDE w:val="0"/>
        <w:autoSpaceDN w:val="0"/>
        <w:adjustRightInd w:val="0"/>
        <w:ind w:right="260"/>
        <w:jc w:val="both"/>
        <w:rPr>
          <w:rFonts w:ascii="Tahoma" w:hAnsi="Tahoma" w:cs="Tahoma"/>
          <w:b/>
          <w:sz w:val="22"/>
          <w:szCs w:val="22"/>
        </w:rPr>
      </w:pPr>
    </w:p>
    <w:p w:rsidR="003C5890" w:rsidRPr="000E08FB" w:rsidRDefault="003C5890" w:rsidP="008E1F2C">
      <w:pPr>
        <w:spacing w:after="240"/>
        <w:ind w:right="260"/>
        <w:jc w:val="both"/>
        <w:rPr>
          <w:rStyle w:val="Enfasicorsivo"/>
          <w:rFonts w:ascii="Tahoma" w:hAnsi="Tahoma" w:cs="Tahoma"/>
          <w:sz w:val="20"/>
          <w:szCs w:val="20"/>
        </w:rPr>
      </w:pPr>
      <w:r w:rsidRPr="000E08FB">
        <w:rPr>
          <w:rFonts w:ascii="Tahoma" w:hAnsi="Tahoma" w:cs="Tahoma"/>
          <w:b/>
          <w:sz w:val="20"/>
          <w:szCs w:val="20"/>
          <w:u w:val="single"/>
        </w:rPr>
        <w:t>SEZIONE I:AMMINISTRAZIONE AGGIUDICATRIC</w:t>
      </w:r>
      <w:r w:rsidRPr="000E08FB">
        <w:rPr>
          <w:rFonts w:ascii="Tahoma" w:hAnsi="Tahoma" w:cs="Tahoma"/>
          <w:b/>
          <w:sz w:val="20"/>
          <w:szCs w:val="20"/>
        </w:rPr>
        <w:t>E</w:t>
      </w:r>
    </w:p>
    <w:p w:rsidR="003C5890" w:rsidRPr="000E08FB" w:rsidRDefault="003C5890" w:rsidP="002436E8">
      <w:pPr>
        <w:spacing w:line="276" w:lineRule="auto"/>
        <w:ind w:right="261"/>
        <w:jc w:val="both"/>
        <w:rPr>
          <w:rFonts w:ascii="Tahoma" w:hAnsi="Tahoma" w:cs="Tahoma"/>
          <w:b/>
          <w:sz w:val="20"/>
          <w:szCs w:val="20"/>
        </w:rPr>
      </w:pPr>
      <w:r w:rsidRPr="000E08FB">
        <w:rPr>
          <w:rFonts w:ascii="Tahoma" w:hAnsi="Tahoma" w:cs="Tahoma"/>
          <w:b/>
          <w:sz w:val="20"/>
          <w:szCs w:val="20"/>
        </w:rPr>
        <w:t>I.1)</w:t>
      </w:r>
      <w:r w:rsidR="00000C77" w:rsidRPr="000E08FB">
        <w:rPr>
          <w:rFonts w:ascii="Tahoma" w:hAnsi="Tahoma" w:cs="Tahoma"/>
          <w:b/>
          <w:sz w:val="20"/>
          <w:szCs w:val="20"/>
        </w:rPr>
        <w:t>Denominazione</w:t>
      </w:r>
      <w:r w:rsidR="003C60C1" w:rsidRPr="000E08FB">
        <w:rPr>
          <w:rFonts w:ascii="Tahoma" w:hAnsi="Tahoma" w:cs="Tahoma"/>
          <w:b/>
          <w:sz w:val="20"/>
          <w:szCs w:val="20"/>
        </w:rPr>
        <w:t>,</w:t>
      </w:r>
      <w:r w:rsidR="005F392B">
        <w:rPr>
          <w:rFonts w:ascii="Tahoma" w:hAnsi="Tahoma" w:cs="Tahoma"/>
          <w:b/>
          <w:sz w:val="20"/>
          <w:szCs w:val="20"/>
        </w:rPr>
        <w:t xml:space="preserve"> </w:t>
      </w:r>
      <w:r w:rsidR="00000C77" w:rsidRPr="000E08FB">
        <w:rPr>
          <w:rFonts w:ascii="Tahoma" w:hAnsi="Tahoma" w:cs="Tahoma"/>
          <w:b/>
          <w:sz w:val="20"/>
          <w:szCs w:val="20"/>
        </w:rPr>
        <w:t xml:space="preserve">Indirizzi </w:t>
      </w:r>
      <w:r w:rsidR="00C76101" w:rsidRPr="000E08FB">
        <w:rPr>
          <w:rFonts w:ascii="Tahoma" w:hAnsi="Tahoma" w:cs="Tahoma"/>
          <w:b/>
          <w:sz w:val="20"/>
          <w:szCs w:val="20"/>
        </w:rPr>
        <w:t>e Punti di contatto</w:t>
      </w:r>
    </w:p>
    <w:p w:rsidR="000E08FB" w:rsidRPr="000E08FB" w:rsidRDefault="003C5890" w:rsidP="002436E8">
      <w:pPr>
        <w:spacing w:line="276" w:lineRule="auto"/>
        <w:ind w:right="261"/>
        <w:jc w:val="both"/>
        <w:rPr>
          <w:rFonts w:ascii="Tahoma" w:hAnsi="Tahoma" w:cs="Tahoma"/>
          <w:sz w:val="20"/>
          <w:szCs w:val="20"/>
        </w:rPr>
      </w:pPr>
      <w:r w:rsidRPr="000E08FB">
        <w:rPr>
          <w:rFonts w:ascii="Tahoma" w:hAnsi="Tahoma" w:cs="Tahoma"/>
          <w:sz w:val="20"/>
          <w:szCs w:val="20"/>
        </w:rPr>
        <w:t>Cassa Nazionale di Previdenza e Assistenza a fa</w:t>
      </w:r>
      <w:r w:rsidR="003C60C1" w:rsidRPr="000E08FB">
        <w:rPr>
          <w:rFonts w:ascii="Tahoma" w:hAnsi="Tahoma" w:cs="Tahoma"/>
          <w:sz w:val="20"/>
          <w:szCs w:val="20"/>
        </w:rPr>
        <w:t>vore dei Dottori Commercialisti -</w:t>
      </w:r>
      <w:r w:rsidRPr="000E08FB">
        <w:rPr>
          <w:rFonts w:ascii="Tahoma" w:hAnsi="Tahoma" w:cs="Tahoma"/>
          <w:sz w:val="20"/>
          <w:szCs w:val="20"/>
        </w:rPr>
        <w:t xml:space="preserve">Via Mantova, 1 – 00198 Roma; </w:t>
      </w:r>
    </w:p>
    <w:p w:rsidR="003C5890" w:rsidRPr="000E08FB" w:rsidRDefault="003C5890" w:rsidP="002436E8">
      <w:pPr>
        <w:spacing w:line="276" w:lineRule="auto"/>
        <w:ind w:right="261"/>
        <w:jc w:val="both"/>
        <w:rPr>
          <w:rFonts w:ascii="Tahoma" w:hAnsi="Tahoma" w:cs="Tahoma"/>
          <w:sz w:val="20"/>
          <w:szCs w:val="20"/>
        </w:rPr>
      </w:pPr>
      <w:r w:rsidRPr="000E08FB">
        <w:rPr>
          <w:rFonts w:ascii="Tahoma" w:hAnsi="Tahoma" w:cs="Tahoma"/>
          <w:b/>
          <w:sz w:val="20"/>
          <w:szCs w:val="20"/>
        </w:rPr>
        <w:t>Codice Nuts</w:t>
      </w:r>
      <w:r w:rsidRPr="000E08FB">
        <w:rPr>
          <w:rFonts w:ascii="Tahoma" w:hAnsi="Tahoma" w:cs="Tahoma"/>
          <w:sz w:val="20"/>
          <w:szCs w:val="20"/>
        </w:rPr>
        <w:t>: IT</w:t>
      </w:r>
      <w:r w:rsidR="006B4E8D">
        <w:rPr>
          <w:rFonts w:ascii="Tahoma" w:hAnsi="Tahoma" w:cs="Tahoma"/>
          <w:sz w:val="20"/>
          <w:szCs w:val="20"/>
        </w:rPr>
        <w:t>I</w:t>
      </w:r>
      <w:r w:rsidRPr="000E08FB">
        <w:rPr>
          <w:rFonts w:ascii="Tahoma" w:hAnsi="Tahoma" w:cs="Tahoma"/>
          <w:sz w:val="20"/>
          <w:szCs w:val="20"/>
        </w:rPr>
        <w:t xml:space="preserve">43; tel. 06474861; fax 064820322; </w:t>
      </w:r>
    </w:p>
    <w:p w:rsidR="00000C77" w:rsidRPr="000E08FB" w:rsidRDefault="00000C77" w:rsidP="002436E8">
      <w:pPr>
        <w:spacing w:line="276" w:lineRule="auto"/>
        <w:ind w:right="261"/>
        <w:jc w:val="both"/>
        <w:rPr>
          <w:rFonts w:ascii="Tahoma" w:hAnsi="Tahoma" w:cs="Tahoma"/>
          <w:sz w:val="20"/>
          <w:szCs w:val="20"/>
        </w:rPr>
      </w:pPr>
      <w:r w:rsidRPr="000E08FB">
        <w:rPr>
          <w:rFonts w:ascii="Tahoma" w:hAnsi="Tahoma" w:cs="Tahoma"/>
          <w:b/>
          <w:sz w:val="20"/>
          <w:szCs w:val="20"/>
        </w:rPr>
        <w:t>Persona di contatto</w:t>
      </w:r>
      <w:r w:rsidRPr="000E08FB">
        <w:rPr>
          <w:rFonts w:ascii="Tahoma" w:hAnsi="Tahoma" w:cs="Tahoma"/>
          <w:sz w:val="20"/>
          <w:szCs w:val="20"/>
        </w:rPr>
        <w:t xml:space="preserve">: </w:t>
      </w:r>
      <w:r w:rsidR="000E08FB">
        <w:rPr>
          <w:rFonts w:ascii="Tahoma" w:hAnsi="Tahoma" w:cs="Tahoma"/>
          <w:sz w:val="20"/>
          <w:szCs w:val="20"/>
        </w:rPr>
        <w:t>Ing. Gaetano Mungari i</w:t>
      </w:r>
      <w:r w:rsidR="005F16CB" w:rsidRPr="000E08FB">
        <w:rPr>
          <w:rFonts w:ascii="Tahoma" w:hAnsi="Tahoma" w:cs="Tahoma"/>
          <w:sz w:val="20"/>
          <w:szCs w:val="20"/>
        </w:rPr>
        <w:t>n qualità di Responsabile del Procedimento</w:t>
      </w:r>
      <w:r w:rsidR="0033380E" w:rsidRPr="000E08FB">
        <w:rPr>
          <w:rFonts w:ascii="Tahoma" w:hAnsi="Tahoma" w:cs="Tahoma"/>
          <w:sz w:val="20"/>
          <w:szCs w:val="20"/>
        </w:rPr>
        <w:t>;</w:t>
      </w:r>
    </w:p>
    <w:p w:rsidR="000E08FB" w:rsidRDefault="003C5890" w:rsidP="002436E8">
      <w:pPr>
        <w:ind w:right="261"/>
        <w:jc w:val="both"/>
        <w:rPr>
          <w:rFonts w:asciiTheme="minorHAnsi" w:hAnsiTheme="minorHAnsi" w:cs="Tahoma"/>
          <w:sz w:val="22"/>
          <w:szCs w:val="22"/>
        </w:rPr>
      </w:pPr>
      <w:r w:rsidRPr="000E08FB">
        <w:rPr>
          <w:rFonts w:ascii="Tahoma" w:hAnsi="Tahoma" w:cs="Tahoma"/>
          <w:b/>
          <w:sz w:val="20"/>
          <w:szCs w:val="20"/>
        </w:rPr>
        <w:t xml:space="preserve">Indirizzo </w:t>
      </w:r>
      <w:r w:rsidRPr="000E08FB">
        <w:rPr>
          <w:rFonts w:ascii="Tahoma" w:hAnsi="Tahoma" w:cs="Tahoma"/>
          <w:b/>
          <w:i/>
          <w:sz w:val="20"/>
          <w:szCs w:val="20"/>
        </w:rPr>
        <w:t>internet</w:t>
      </w:r>
      <w:r w:rsidRPr="000E08FB">
        <w:rPr>
          <w:rFonts w:ascii="Tahoma" w:hAnsi="Tahoma" w:cs="Tahoma"/>
          <w:b/>
          <w:sz w:val="20"/>
          <w:szCs w:val="20"/>
        </w:rPr>
        <w:t>:</w:t>
      </w:r>
      <w:r w:rsidR="0033380E" w:rsidRPr="000E08FB">
        <w:rPr>
          <w:rFonts w:ascii="Tahoma" w:hAnsi="Tahoma" w:cs="Tahoma"/>
          <w:b/>
          <w:sz w:val="20"/>
          <w:szCs w:val="20"/>
        </w:rPr>
        <w:t xml:space="preserve"> </w:t>
      </w:r>
      <w:hyperlink r:id="rId8" w:history="1">
        <w:r w:rsidR="000E08FB">
          <w:rPr>
            <w:rStyle w:val="Collegamentoipertestuale"/>
            <w:rFonts w:asciiTheme="minorHAnsi" w:hAnsiTheme="minorHAnsi"/>
            <w:sz w:val="22"/>
            <w:szCs w:val="22"/>
          </w:rPr>
          <w:t>https://www.cnpadc.it/la-cassa/cnpadc-trasparente/bandi-di-gare-e-contratti/gare.html</w:t>
        </w:r>
      </w:hyperlink>
      <w:r w:rsidR="000E08FB">
        <w:t xml:space="preserve"> </w:t>
      </w:r>
    </w:p>
    <w:p w:rsidR="003C5890" w:rsidRPr="000E08FB" w:rsidRDefault="003C5890" w:rsidP="002436E8">
      <w:pPr>
        <w:spacing w:line="276" w:lineRule="auto"/>
        <w:ind w:right="261"/>
        <w:jc w:val="both"/>
        <w:rPr>
          <w:rFonts w:ascii="Tahoma" w:hAnsi="Tahoma" w:cs="Tahoma"/>
          <w:sz w:val="20"/>
          <w:szCs w:val="20"/>
        </w:rPr>
      </w:pPr>
      <w:r w:rsidRPr="000E08FB">
        <w:rPr>
          <w:rFonts w:ascii="Tahoma" w:hAnsi="Tahoma" w:cs="Tahoma"/>
          <w:b/>
          <w:sz w:val="20"/>
          <w:szCs w:val="20"/>
        </w:rPr>
        <w:t>Indirizzo del profilo del</w:t>
      </w:r>
      <w:r w:rsidR="005F527A">
        <w:rPr>
          <w:rFonts w:ascii="Tahoma" w:hAnsi="Tahoma" w:cs="Tahoma"/>
          <w:b/>
          <w:sz w:val="20"/>
          <w:szCs w:val="20"/>
        </w:rPr>
        <w:t>la</w:t>
      </w:r>
      <w:r w:rsidRPr="000E08FB">
        <w:rPr>
          <w:rFonts w:ascii="Tahoma" w:hAnsi="Tahoma" w:cs="Tahoma"/>
          <w:b/>
          <w:sz w:val="20"/>
          <w:szCs w:val="20"/>
        </w:rPr>
        <w:t xml:space="preserve"> Stazione Appaltante</w:t>
      </w:r>
      <w:r w:rsidRPr="000E08FB">
        <w:rPr>
          <w:rFonts w:ascii="Tahoma" w:hAnsi="Tahoma" w:cs="Tahoma"/>
          <w:sz w:val="20"/>
          <w:szCs w:val="20"/>
        </w:rPr>
        <w:t xml:space="preserve">: </w:t>
      </w:r>
      <w:hyperlink r:id="rId9" w:history="1">
        <w:r w:rsidRPr="000E08FB">
          <w:rPr>
            <w:rStyle w:val="Collegamentoipertestuale"/>
            <w:rFonts w:ascii="Tahoma" w:hAnsi="Tahoma" w:cs="Tahoma"/>
            <w:sz w:val="20"/>
            <w:szCs w:val="20"/>
          </w:rPr>
          <w:t>www.cnpadc.it</w:t>
        </w:r>
      </w:hyperlink>
      <w:r w:rsidR="00C76101" w:rsidRPr="000E08FB">
        <w:rPr>
          <w:rFonts w:ascii="Tahoma" w:hAnsi="Tahoma" w:cs="Tahoma"/>
          <w:sz w:val="20"/>
          <w:szCs w:val="20"/>
        </w:rPr>
        <w:t>;</w:t>
      </w:r>
    </w:p>
    <w:p w:rsidR="00C76101" w:rsidRPr="000E08FB" w:rsidRDefault="00C76101" w:rsidP="002436E8">
      <w:pPr>
        <w:spacing w:line="276" w:lineRule="auto"/>
        <w:ind w:right="261"/>
        <w:jc w:val="both"/>
        <w:rPr>
          <w:rStyle w:val="Collegamentoipertestuale"/>
          <w:rFonts w:ascii="Tahoma" w:eastAsiaTheme="minorHAnsi" w:hAnsi="Tahoma" w:cs="Tahoma"/>
          <w:sz w:val="20"/>
          <w:szCs w:val="20"/>
          <w:lang w:eastAsia="en-US"/>
        </w:rPr>
      </w:pPr>
      <w:r w:rsidRPr="000E08FB">
        <w:rPr>
          <w:rFonts w:ascii="Tahoma" w:eastAsiaTheme="minorHAnsi" w:hAnsi="Tahoma" w:cs="Tahoma"/>
          <w:b/>
          <w:color w:val="161616"/>
          <w:sz w:val="20"/>
          <w:szCs w:val="20"/>
          <w:lang w:eastAsia="en-US"/>
        </w:rPr>
        <w:t>Indirizzo posta elettronica:</w:t>
      </w:r>
      <w:r w:rsidR="00431719">
        <w:rPr>
          <w:rFonts w:ascii="Tahoma" w:eastAsiaTheme="minorHAnsi" w:hAnsi="Tahoma" w:cs="Tahoma"/>
          <w:b/>
          <w:color w:val="161616"/>
          <w:sz w:val="20"/>
          <w:szCs w:val="20"/>
          <w:lang w:eastAsia="en-US"/>
        </w:rPr>
        <w:t xml:space="preserve"> </w:t>
      </w:r>
      <w:hyperlink r:id="rId10" w:history="1">
        <w:r w:rsidR="00431719" w:rsidRPr="00680F3E">
          <w:rPr>
            <w:rStyle w:val="Collegamentoipertestuale"/>
            <w:rFonts w:ascii="Tahoma" w:eastAsiaTheme="minorHAnsi" w:hAnsi="Tahoma" w:cs="Tahoma"/>
            <w:sz w:val="20"/>
            <w:szCs w:val="20"/>
            <w:lang w:eastAsia="en-US"/>
          </w:rPr>
          <w:t>servizioacquisiti@cnpadc.it</w:t>
        </w:r>
      </w:hyperlink>
      <w:r w:rsidR="00573034" w:rsidRPr="00573034">
        <w:rPr>
          <w:rStyle w:val="Collegamentoipertestuale"/>
          <w:rFonts w:ascii="Tahoma" w:eastAsiaTheme="minorHAnsi" w:hAnsi="Tahoma" w:cs="Tahoma"/>
          <w:color w:val="auto"/>
          <w:sz w:val="20"/>
          <w:szCs w:val="20"/>
          <w:u w:val="none"/>
          <w:lang w:eastAsia="en-US"/>
        </w:rPr>
        <w:t>;</w:t>
      </w:r>
    </w:p>
    <w:p w:rsidR="000E08FB" w:rsidRDefault="00000C77" w:rsidP="002436E8">
      <w:pPr>
        <w:ind w:right="261"/>
        <w:jc w:val="both"/>
        <w:rPr>
          <w:rFonts w:asciiTheme="minorHAnsi" w:hAnsiTheme="minorHAnsi" w:cs="Tahoma"/>
          <w:sz w:val="22"/>
          <w:szCs w:val="22"/>
        </w:rPr>
      </w:pPr>
      <w:r w:rsidRPr="000E08FB">
        <w:rPr>
          <w:rFonts w:ascii="Tahoma" w:hAnsi="Tahoma" w:cs="Tahoma"/>
          <w:b/>
          <w:sz w:val="20"/>
          <w:szCs w:val="20"/>
        </w:rPr>
        <w:t xml:space="preserve">I.3) Comunicazione: </w:t>
      </w:r>
      <w:r w:rsidRPr="000E08FB">
        <w:rPr>
          <w:rFonts w:ascii="Tahoma" w:hAnsi="Tahoma" w:cs="Tahoma"/>
          <w:sz w:val="20"/>
          <w:szCs w:val="20"/>
        </w:rPr>
        <w:t xml:space="preserve">i </w:t>
      </w:r>
      <w:r w:rsidR="003C5890" w:rsidRPr="000E08FB">
        <w:rPr>
          <w:rFonts w:ascii="Tahoma" w:hAnsi="Tahoma" w:cs="Tahoma"/>
          <w:sz w:val="20"/>
          <w:szCs w:val="20"/>
        </w:rPr>
        <w:t>document</w:t>
      </w:r>
      <w:r w:rsidRPr="000E08FB">
        <w:rPr>
          <w:rFonts w:ascii="Tahoma" w:hAnsi="Tahoma" w:cs="Tahoma"/>
          <w:sz w:val="20"/>
          <w:szCs w:val="20"/>
        </w:rPr>
        <w:t xml:space="preserve">i </w:t>
      </w:r>
      <w:r w:rsidR="003C5890" w:rsidRPr="000E08FB">
        <w:rPr>
          <w:rFonts w:ascii="Tahoma" w:hAnsi="Tahoma" w:cs="Tahoma"/>
          <w:sz w:val="20"/>
          <w:szCs w:val="20"/>
        </w:rPr>
        <w:t xml:space="preserve">di gara sono disponibili </w:t>
      </w:r>
      <w:r w:rsidRPr="000E08FB">
        <w:rPr>
          <w:rFonts w:ascii="Tahoma" w:hAnsi="Tahoma" w:cs="Tahoma"/>
          <w:sz w:val="20"/>
          <w:szCs w:val="20"/>
        </w:rPr>
        <w:t xml:space="preserve">per un accesso gratuito, illimitato e diretto </w:t>
      </w:r>
      <w:r w:rsidR="003C5890" w:rsidRPr="000E08FB">
        <w:rPr>
          <w:rFonts w:ascii="Tahoma" w:hAnsi="Tahoma" w:cs="Tahoma"/>
          <w:sz w:val="20"/>
          <w:szCs w:val="20"/>
        </w:rPr>
        <w:t xml:space="preserve">sul sito </w:t>
      </w:r>
      <w:r w:rsidR="003C5890" w:rsidRPr="000E08FB">
        <w:rPr>
          <w:rFonts w:ascii="Tahoma" w:hAnsi="Tahoma" w:cs="Tahoma"/>
          <w:i/>
          <w:sz w:val="20"/>
          <w:szCs w:val="20"/>
        </w:rPr>
        <w:t>internet</w:t>
      </w:r>
      <w:r w:rsidR="00C76101" w:rsidRPr="000E08FB">
        <w:rPr>
          <w:rFonts w:ascii="Tahoma" w:hAnsi="Tahoma" w:cs="Tahoma"/>
          <w:sz w:val="20"/>
          <w:szCs w:val="20"/>
        </w:rPr>
        <w:t xml:space="preserve"> </w:t>
      </w:r>
      <w:r w:rsidR="0033380E" w:rsidRPr="000E08FB">
        <w:rPr>
          <w:rFonts w:ascii="Tahoma" w:hAnsi="Tahoma" w:cs="Tahoma"/>
          <w:sz w:val="20"/>
          <w:szCs w:val="20"/>
        </w:rPr>
        <w:t xml:space="preserve"> </w:t>
      </w:r>
      <w:r w:rsidR="00C76101" w:rsidRPr="000E08FB">
        <w:rPr>
          <w:rFonts w:ascii="Tahoma" w:hAnsi="Tahoma" w:cs="Tahoma"/>
          <w:sz w:val="20"/>
          <w:szCs w:val="20"/>
        </w:rPr>
        <w:t>istituzionale:</w:t>
      </w:r>
      <w:r w:rsidR="0033380E" w:rsidRPr="000E08FB">
        <w:rPr>
          <w:sz w:val="20"/>
          <w:szCs w:val="20"/>
        </w:rPr>
        <w:t xml:space="preserve"> </w:t>
      </w:r>
      <w:hyperlink r:id="rId11" w:history="1">
        <w:r w:rsidR="000E08FB">
          <w:rPr>
            <w:rStyle w:val="Collegamentoipertestuale"/>
            <w:rFonts w:asciiTheme="minorHAnsi" w:hAnsiTheme="minorHAnsi"/>
            <w:sz w:val="22"/>
            <w:szCs w:val="22"/>
          </w:rPr>
          <w:t>https://www.cnpadc.it/la-cassa/cnpadc-trasparente/bandi-di-gare-e-contratti/gare.html</w:t>
        </w:r>
      </w:hyperlink>
      <w:r w:rsidR="000E08FB">
        <w:t xml:space="preserve"> </w:t>
      </w:r>
    </w:p>
    <w:p w:rsidR="00000C77" w:rsidRPr="000E08FB" w:rsidRDefault="00000C77" w:rsidP="002436E8">
      <w:pPr>
        <w:spacing w:line="276" w:lineRule="auto"/>
        <w:ind w:right="261"/>
        <w:jc w:val="both"/>
        <w:rPr>
          <w:rFonts w:ascii="Tahoma" w:hAnsi="Tahoma" w:cs="Tahoma"/>
          <w:sz w:val="20"/>
          <w:szCs w:val="20"/>
        </w:rPr>
      </w:pPr>
      <w:r w:rsidRPr="000E08FB">
        <w:rPr>
          <w:rFonts w:ascii="Tahoma" w:hAnsi="Tahoma" w:cs="Tahoma"/>
          <w:sz w:val="20"/>
          <w:szCs w:val="20"/>
        </w:rPr>
        <w:t>Ulteriori informazioni sono disponibili presso l’indirizzo sopraindicato.</w:t>
      </w:r>
    </w:p>
    <w:p w:rsidR="003C5890" w:rsidRPr="000E08FB" w:rsidRDefault="00000C77" w:rsidP="002436E8">
      <w:pPr>
        <w:spacing w:line="276" w:lineRule="auto"/>
        <w:ind w:right="261"/>
        <w:jc w:val="both"/>
        <w:rPr>
          <w:rFonts w:ascii="Tahoma" w:hAnsi="Tahoma" w:cs="Tahoma"/>
          <w:sz w:val="20"/>
          <w:szCs w:val="20"/>
        </w:rPr>
      </w:pPr>
      <w:r w:rsidRPr="000E08FB">
        <w:rPr>
          <w:rFonts w:ascii="Tahoma" w:hAnsi="Tahoma" w:cs="Tahoma"/>
          <w:sz w:val="20"/>
          <w:szCs w:val="20"/>
        </w:rPr>
        <w:t>Le offerte e le domande di partecipazione vanno inviate all’indirizzo sopraindicato</w:t>
      </w:r>
      <w:r w:rsidR="00C76101" w:rsidRPr="000E08FB">
        <w:rPr>
          <w:rFonts w:ascii="Tahoma" w:hAnsi="Tahoma" w:cs="Tahoma"/>
          <w:sz w:val="20"/>
          <w:szCs w:val="20"/>
        </w:rPr>
        <w:t>.</w:t>
      </w:r>
    </w:p>
    <w:p w:rsidR="00000C77" w:rsidRPr="000E08FB" w:rsidRDefault="003C5890" w:rsidP="002436E8">
      <w:pPr>
        <w:spacing w:line="276" w:lineRule="auto"/>
        <w:ind w:right="261"/>
        <w:jc w:val="both"/>
        <w:rPr>
          <w:rFonts w:ascii="Tahoma" w:hAnsi="Tahoma" w:cs="Tahoma"/>
          <w:sz w:val="20"/>
          <w:szCs w:val="20"/>
        </w:rPr>
      </w:pPr>
      <w:r w:rsidRPr="000E08FB">
        <w:rPr>
          <w:rFonts w:ascii="Tahoma" w:hAnsi="Tahoma" w:cs="Tahoma"/>
          <w:b/>
          <w:sz w:val="20"/>
          <w:szCs w:val="20"/>
        </w:rPr>
        <w:t>I.4)</w:t>
      </w:r>
      <w:r w:rsidR="00000C77" w:rsidRPr="000E08FB">
        <w:rPr>
          <w:rFonts w:ascii="Tahoma" w:hAnsi="Tahoma" w:cs="Tahoma"/>
          <w:b/>
          <w:sz w:val="20"/>
          <w:szCs w:val="20"/>
        </w:rPr>
        <w:t xml:space="preserve">Tipo di Amministrazione Aggiudicatrice: </w:t>
      </w:r>
      <w:r w:rsidR="00000C77" w:rsidRPr="000E08FB">
        <w:rPr>
          <w:rFonts w:ascii="Tahoma" w:hAnsi="Tahoma" w:cs="Tahoma"/>
          <w:sz w:val="20"/>
          <w:szCs w:val="20"/>
        </w:rPr>
        <w:t>Organismo di diritto pubblico</w:t>
      </w:r>
      <w:r w:rsidR="0033380E" w:rsidRPr="000E08FB">
        <w:rPr>
          <w:rFonts w:ascii="Tahoma" w:hAnsi="Tahoma" w:cs="Tahoma"/>
          <w:sz w:val="20"/>
          <w:szCs w:val="20"/>
        </w:rPr>
        <w:t>.</w:t>
      </w:r>
    </w:p>
    <w:p w:rsidR="003C5890" w:rsidRPr="000E08FB" w:rsidRDefault="00000C77" w:rsidP="002436E8">
      <w:pPr>
        <w:spacing w:line="276" w:lineRule="auto"/>
        <w:ind w:right="261"/>
        <w:jc w:val="both"/>
        <w:rPr>
          <w:rFonts w:ascii="Tahoma" w:hAnsi="Tahoma" w:cs="Tahoma"/>
          <w:b/>
          <w:sz w:val="20"/>
          <w:szCs w:val="20"/>
        </w:rPr>
      </w:pPr>
      <w:r w:rsidRPr="000E08FB">
        <w:rPr>
          <w:rFonts w:ascii="Tahoma" w:hAnsi="Tahoma" w:cs="Tahoma"/>
          <w:b/>
          <w:sz w:val="20"/>
          <w:szCs w:val="20"/>
        </w:rPr>
        <w:t xml:space="preserve">I.5) Principali Settori di Attività: </w:t>
      </w:r>
      <w:r w:rsidRPr="000E08FB">
        <w:rPr>
          <w:rFonts w:ascii="Tahoma" w:hAnsi="Tahoma" w:cs="Tahoma"/>
          <w:sz w:val="20"/>
          <w:szCs w:val="20"/>
        </w:rPr>
        <w:t>altro: Previdenza obbligatoria</w:t>
      </w:r>
      <w:r w:rsidR="00573034">
        <w:rPr>
          <w:rFonts w:ascii="Tahoma" w:hAnsi="Tahoma" w:cs="Tahoma"/>
          <w:sz w:val="20"/>
          <w:szCs w:val="20"/>
        </w:rPr>
        <w:t>.</w:t>
      </w:r>
    </w:p>
    <w:p w:rsidR="00566972" w:rsidRPr="000E08FB" w:rsidRDefault="00EE124B" w:rsidP="002436E8">
      <w:pPr>
        <w:spacing w:before="240" w:after="240"/>
        <w:ind w:right="260"/>
        <w:jc w:val="both"/>
        <w:rPr>
          <w:rFonts w:ascii="Tahoma" w:hAnsi="Tahoma" w:cs="Tahoma"/>
          <w:b/>
          <w:sz w:val="20"/>
          <w:szCs w:val="20"/>
          <w:u w:val="single"/>
        </w:rPr>
      </w:pPr>
      <w:r w:rsidRPr="000E08FB">
        <w:rPr>
          <w:rFonts w:ascii="Tahoma" w:hAnsi="Tahoma" w:cs="Tahoma"/>
          <w:b/>
          <w:sz w:val="20"/>
          <w:szCs w:val="20"/>
          <w:u w:val="single"/>
        </w:rPr>
        <w:t>SEZIONE II: OGGETTO</w:t>
      </w:r>
    </w:p>
    <w:p w:rsidR="00C77D09" w:rsidRPr="000E08FB" w:rsidRDefault="00C77D09" w:rsidP="0033380E">
      <w:pPr>
        <w:shd w:val="clear" w:color="auto" w:fill="FFFFFF"/>
        <w:ind w:right="260"/>
        <w:jc w:val="both"/>
        <w:rPr>
          <w:rFonts w:ascii="Tahoma" w:hAnsi="Tahoma" w:cs="Tahoma"/>
          <w:b/>
          <w:bCs/>
          <w:kern w:val="1"/>
          <w:sz w:val="20"/>
          <w:szCs w:val="20"/>
          <w:u w:val="single"/>
        </w:rPr>
      </w:pPr>
      <w:r w:rsidRPr="000E08FB">
        <w:rPr>
          <w:rFonts w:ascii="Tahoma" w:hAnsi="Tahoma" w:cs="Tahoma"/>
          <w:b/>
          <w:bCs/>
          <w:kern w:val="1"/>
          <w:sz w:val="20"/>
          <w:szCs w:val="20"/>
          <w:u w:val="single"/>
        </w:rPr>
        <w:t>II.1) Entità dell'appalto</w:t>
      </w:r>
    </w:p>
    <w:p w:rsidR="00566972" w:rsidRPr="000E08FB" w:rsidRDefault="00566972" w:rsidP="0033380E">
      <w:pPr>
        <w:shd w:val="clear" w:color="auto" w:fill="FFFFFF"/>
        <w:ind w:right="260"/>
        <w:jc w:val="both"/>
        <w:rPr>
          <w:rFonts w:ascii="Tahoma" w:hAnsi="Tahoma" w:cs="Tahoma"/>
          <w:sz w:val="20"/>
          <w:szCs w:val="20"/>
        </w:rPr>
      </w:pPr>
      <w:r w:rsidRPr="000E08FB">
        <w:rPr>
          <w:rFonts w:ascii="Tahoma" w:hAnsi="Tahoma" w:cs="Tahoma"/>
          <w:b/>
          <w:bCs/>
          <w:kern w:val="1"/>
          <w:sz w:val="20"/>
          <w:szCs w:val="20"/>
        </w:rPr>
        <w:t>II.1.1) Denominazione</w:t>
      </w:r>
      <w:r w:rsidRPr="000E08FB">
        <w:rPr>
          <w:rFonts w:ascii="Tahoma" w:hAnsi="Tahoma" w:cs="Tahoma"/>
          <w:bCs/>
          <w:kern w:val="1"/>
          <w:sz w:val="20"/>
          <w:szCs w:val="20"/>
        </w:rPr>
        <w:t xml:space="preserve">: </w:t>
      </w:r>
      <w:r w:rsidR="00573034">
        <w:rPr>
          <w:rFonts w:ascii="Tahoma" w:hAnsi="Tahoma" w:cs="Tahoma"/>
          <w:sz w:val="20"/>
          <w:szCs w:val="20"/>
        </w:rPr>
        <w:t>S</w:t>
      </w:r>
      <w:r w:rsidRPr="000E08FB">
        <w:rPr>
          <w:rFonts w:ascii="Tahoma" w:hAnsi="Tahoma" w:cs="Tahoma"/>
          <w:sz w:val="20"/>
          <w:szCs w:val="20"/>
        </w:rPr>
        <w:t xml:space="preserve">ervizio di pulizia, esclusa disinfestazione e derattizzazione, dei locali Sede della Cassa </w:t>
      </w:r>
      <w:r w:rsidRPr="00431719">
        <w:rPr>
          <w:rFonts w:ascii="Tahoma" w:hAnsi="Tahoma" w:cs="Tahoma"/>
          <w:sz w:val="20"/>
          <w:szCs w:val="20"/>
        </w:rPr>
        <w:t xml:space="preserve">Nazionale di Previdenza e Assistenza a favore dei Dottori Commercialisti </w:t>
      </w:r>
      <w:r w:rsidR="00431719" w:rsidRPr="00431719">
        <w:rPr>
          <w:rFonts w:ascii="Tahoma" w:hAnsi="Tahoma" w:cs="Tahoma"/>
          <w:sz w:val="20"/>
          <w:szCs w:val="20"/>
        </w:rPr>
        <w:t>–</w:t>
      </w:r>
      <w:r w:rsidRPr="00431719">
        <w:rPr>
          <w:rFonts w:ascii="Tahoma" w:hAnsi="Tahoma" w:cs="Tahoma"/>
          <w:sz w:val="20"/>
          <w:szCs w:val="20"/>
        </w:rPr>
        <w:t xml:space="preserve"> CIG</w:t>
      </w:r>
      <w:r w:rsidR="00431719" w:rsidRPr="00431719">
        <w:rPr>
          <w:rFonts w:ascii="Tahoma" w:hAnsi="Tahoma" w:cs="Tahoma"/>
          <w:sz w:val="20"/>
          <w:szCs w:val="20"/>
        </w:rPr>
        <w:t xml:space="preserve"> 7584196487</w:t>
      </w:r>
      <w:r w:rsidR="00431719">
        <w:rPr>
          <w:rFonts w:ascii="Tahoma" w:hAnsi="Tahoma" w:cs="Tahoma"/>
          <w:sz w:val="20"/>
          <w:szCs w:val="20"/>
        </w:rPr>
        <w:t>.</w:t>
      </w:r>
    </w:p>
    <w:p w:rsidR="00566972" w:rsidRPr="000E08FB" w:rsidRDefault="00566972" w:rsidP="0033380E">
      <w:pPr>
        <w:autoSpaceDE w:val="0"/>
        <w:ind w:right="260"/>
        <w:jc w:val="both"/>
        <w:rPr>
          <w:rFonts w:ascii="Tahoma" w:hAnsi="Tahoma" w:cs="Tahoma"/>
          <w:b/>
          <w:color w:val="231F20"/>
          <w:sz w:val="20"/>
          <w:szCs w:val="20"/>
        </w:rPr>
      </w:pPr>
      <w:r w:rsidRPr="000E08FB">
        <w:rPr>
          <w:rFonts w:ascii="Tahoma" w:hAnsi="Tahoma" w:cs="Tahoma"/>
          <w:b/>
          <w:sz w:val="20"/>
          <w:szCs w:val="20"/>
        </w:rPr>
        <w:t>II.1.2)</w:t>
      </w:r>
      <w:r w:rsidRPr="000E08FB">
        <w:rPr>
          <w:rFonts w:ascii="Tahoma" w:hAnsi="Tahoma" w:cs="Tahoma"/>
          <w:sz w:val="20"/>
          <w:szCs w:val="20"/>
        </w:rPr>
        <w:t xml:space="preserve"> </w:t>
      </w:r>
      <w:r w:rsidRPr="000E08FB">
        <w:rPr>
          <w:rFonts w:ascii="Tahoma" w:hAnsi="Tahoma" w:cs="Tahoma"/>
          <w:b/>
          <w:sz w:val="20"/>
          <w:szCs w:val="20"/>
        </w:rPr>
        <w:t xml:space="preserve">CPV: </w:t>
      </w:r>
      <w:r w:rsidRPr="000E08FB">
        <w:rPr>
          <w:rFonts w:ascii="Tahoma" w:eastAsiaTheme="minorHAnsi" w:hAnsi="Tahoma" w:cs="Tahoma"/>
          <w:sz w:val="20"/>
          <w:szCs w:val="20"/>
          <w:lang w:eastAsia="en-US"/>
        </w:rPr>
        <w:t>90919200-4 Servizi di pulizia di uffici</w:t>
      </w:r>
      <w:r w:rsidR="00573034">
        <w:rPr>
          <w:rFonts w:ascii="Tahoma" w:eastAsiaTheme="minorHAnsi" w:hAnsi="Tahoma" w:cs="Tahoma"/>
          <w:sz w:val="20"/>
          <w:szCs w:val="20"/>
          <w:lang w:eastAsia="en-US"/>
        </w:rPr>
        <w:t>.</w:t>
      </w:r>
    </w:p>
    <w:p w:rsidR="00566972" w:rsidRPr="000E08FB" w:rsidRDefault="00566972" w:rsidP="0033380E">
      <w:pPr>
        <w:autoSpaceDE w:val="0"/>
        <w:ind w:right="260"/>
        <w:jc w:val="both"/>
        <w:rPr>
          <w:rFonts w:ascii="Tahoma" w:hAnsi="Tahoma" w:cs="Tahoma"/>
          <w:sz w:val="20"/>
          <w:szCs w:val="20"/>
        </w:rPr>
      </w:pPr>
      <w:r w:rsidRPr="000E08FB">
        <w:rPr>
          <w:rFonts w:ascii="Tahoma" w:hAnsi="Tahoma" w:cs="Tahoma"/>
          <w:b/>
          <w:sz w:val="20"/>
          <w:szCs w:val="20"/>
        </w:rPr>
        <w:t>II.1.3) Tipo di appalto:</w:t>
      </w:r>
      <w:r w:rsidRPr="000E08FB">
        <w:rPr>
          <w:rFonts w:ascii="Tahoma" w:hAnsi="Tahoma" w:cs="Tahoma"/>
          <w:sz w:val="20"/>
          <w:szCs w:val="20"/>
        </w:rPr>
        <w:t xml:space="preserve"> Servizi</w:t>
      </w:r>
      <w:r w:rsidR="00573034">
        <w:rPr>
          <w:rFonts w:ascii="Tahoma" w:hAnsi="Tahoma" w:cs="Tahoma"/>
          <w:sz w:val="20"/>
          <w:szCs w:val="20"/>
        </w:rPr>
        <w:t>.</w:t>
      </w:r>
    </w:p>
    <w:p w:rsidR="00566972" w:rsidRPr="000E08FB" w:rsidRDefault="00566972" w:rsidP="00EE124B">
      <w:pPr>
        <w:pStyle w:val="Rientrocorpodeltesto"/>
        <w:spacing w:after="0"/>
        <w:ind w:left="0" w:right="260"/>
        <w:jc w:val="both"/>
        <w:rPr>
          <w:rFonts w:ascii="Tahoma" w:hAnsi="Tahoma" w:cs="Tahoma"/>
          <w:w w:val="101"/>
          <w:sz w:val="20"/>
          <w:szCs w:val="20"/>
        </w:rPr>
      </w:pPr>
      <w:r w:rsidRPr="000E08FB">
        <w:rPr>
          <w:rFonts w:ascii="Tahoma" w:hAnsi="Tahoma" w:cs="Tahoma"/>
          <w:b/>
          <w:sz w:val="20"/>
          <w:szCs w:val="20"/>
        </w:rPr>
        <w:t>II.1.4) Breve descrizione:</w:t>
      </w:r>
      <w:r w:rsidR="00573034">
        <w:rPr>
          <w:rFonts w:ascii="Tahoma" w:hAnsi="Tahoma" w:cs="Tahoma"/>
          <w:b/>
          <w:sz w:val="20"/>
          <w:szCs w:val="20"/>
        </w:rPr>
        <w:t xml:space="preserve"> </w:t>
      </w:r>
      <w:r w:rsidRPr="000E08FB">
        <w:rPr>
          <w:rFonts w:ascii="Tahoma" w:hAnsi="Tahoma" w:cs="Tahoma"/>
          <w:sz w:val="20"/>
          <w:szCs w:val="20"/>
        </w:rPr>
        <w:t>L’appalto ha per oggetto il servizio di pulizia, igiene ambientale esclusa disinfestazione e derattizzazione, dei locali Sede della CNPADC siti in Roma – Via Mantova, 1 (</w:t>
      </w:r>
      <w:r w:rsidR="005D7F92" w:rsidRPr="000E08FB">
        <w:rPr>
          <w:rFonts w:ascii="Arial" w:hAnsi="Arial" w:cs="Arial"/>
          <w:sz w:val="20"/>
          <w:szCs w:val="20"/>
        </w:rPr>
        <w:t xml:space="preserve">Palazzina A e B). </w:t>
      </w:r>
      <w:r w:rsidRPr="000E08FB">
        <w:rPr>
          <w:rFonts w:ascii="Tahoma" w:hAnsi="Tahoma" w:cs="Tahoma"/>
          <w:w w:val="101"/>
          <w:sz w:val="20"/>
          <w:szCs w:val="20"/>
        </w:rPr>
        <w:t>I servizi di cui sopra saranno estesi a tutti i locali presenti all’interno degli edifici che sono destinati ad uffici, magazzini, servizi igienici, sale, archivio, garage ecc., comprendendo anche la pulizia delle vetrate.</w:t>
      </w:r>
      <w:r w:rsidR="00EE124B" w:rsidRPr="000E08FB">
        <w:rPr>
          <w:rFonts w:ascii="Tahoma" w:hAnsi="Tahoma" w:cs="Tahoma"/>
          <w:w w:val="101"/>
          <w:sz w:val="20"/>
          <w:szCs w:val="20"/>
        </w:rPr>
        <w:t xml:space="preserve"> </w:t>
      </w:r>
      <w:r w:rsidRPr="000E08FB">
        <w:rPr>
          <w:rFonts w:ascii="Tahoma" w:hAnsi="Tahoma" w:cs="Tahoma"/>
          <w:w w:val="101"/>
          <w:sz w:val="20"/>
          <w:szCs w:val="20"/>
        </w:rPr>
        <w:t>L’appalto comprende anche la fornitura dei materiali di consumo e di prodotti per l’igiene necessari per lo svolgimento delle attività</w:t>
      </w:r>
      <w:r w:rsidR="005F527A">
        <w:rPr>
          <w:rFonts w:ascii="Tahoma" w:hAnsi="Tahoma" w:cs="Tahoma"/>
          <w:w w:val="101"/>
          <w:sz w:val="20"/>
          <w:szCs w:val="20"/>
        </w:rPr>
        <w:t xml:space="preserve"> previste</w:t>
      </w:r>
      <w:r w:rsidRPr="000E08FB">
        <w:rPr>
          <w:rFonts w:ascii="Tahoma" w:hAnsi="Tahoma" w:cs="Tahoma"/>
          <w:w w:val="101"/>
          <w:sz w:val="20"/>
          <w:szCs w:val="20"/>
        </w:rPr>
        <w:t>.</w:t>
      </w:r>
    </w:p>
    <w:p w:rsidR="00566972" w:rsidRPr="000E08FB" w:rsidRDefault="00566972" w:rsidP="00EE124B">
      <w:pPr>
        <w:jc w:val="both"/>
        <w:rPr>
          <w:rFonts w:ascii="Tahoma" w:hAnsi="Tahoma" w:cs="Tahoma"/>
          <w:color w:val="000000"/>
          <w:sz w:val="20"/>
          <w:szCs w:val="20"/>
        </w:rPr>
      </w:pPr>
      <w:r w:rsidRPr="000E08FB">
        <w:rPr>
          <w:rFonts w:ascii="Tahoma" w:hAnsi="Tahoma" w:cs="Tahoma"/>
          <w:b/>
          <w:sz w:val="20"/>
          <w:szCs w:val="20"/>
        </w:rPr>
        <w:t>II.1.5) Valore totale stimato:</w:t>
      </w:r>
      <w:r w:rsidRPr="000E08FB">
        <w:rPr>
          <w:rFonts w:ascii="Tahoma" w:hAnsi="Tahoma" w:cs="Tahoma"/>
          <w:sz w:val="20"/>
          <w:szCs w:val="20"/>
        </w:rPr>
        <w:t xml:space="preserve"> </w:t>
      </w:r>
    </w:p>
    <w:p w:rsidR="00566972" w:rsidRPr="00DE65C2" w:rsidRDefault="00566972" w:rsidP="00C77D09">
      <w:pPr>
        <w:ind w:right="260"/>
        <w:jc w:val="both"/>
        <w:rPr>
          <w:rFonts w:ascii="Tahoma" w:hAnsi="Tahoma" w:cs="Tahoma"/>
          <w:bCs/>
          <w:sz w:val="20"/>
          <w:szCs w:val="20"/>
        </w:rPr>
      </w:pPr>
      <w:r w:rsidRPr="00DE65C2">
        <w:rPr>
          <w:rFonts w:ascii="Tahoma" w:hAnsi="Tahoma" w:cs="Tahoma"/>
          <w:bCs/>
          <w:sz w:val="20"/>
          <w:szCs w:val="20"/>
        </w:rPr>
        <w:t xml:space="preserve">Il valore </w:t>
      </w:r>
      <w:r w:rsidR="004F3F41" w:rsidRPr="00DE65C2">
        <w:rPr>
          <w:rFonts w:ascii="Tahoma" w:hAnsi="Tahoma" w:cs="Tahoma"/>
          <w:bCs/>
          <w:sz w:val="20"/>
          <w:szCs w:val="20"/>
        </w:rPr>
        <w:t xml:space="preserve">presunto </w:t>
      </w:r>
      <w:r w:rsidRPr="00DE65C2">
        <w:rPr>
          <w:rFonts w:ascii="Tahoma" w:hAnsi="Tahoma" w:cs="Tahoma"/>
          <w:bCs/>
          <w:sz w:val="20"/>
          <w:szCs w:val="20"/>
        </w:rPr>
        <w:t xml:space="preserve">dell'appalto </w:t>
      </w:r>
      <w:r w:rsidR="00AF0B08" w:rsidRPr="00DE65C2">
        <w:rPr>
          <w:rFonts w:ascii="Tahoma" w:hAnsi="Tahoma" w:cs="Tahoma"/>
          <w:bCs/>
          <w:sz w:val="20"/>
          <w:szCs w:val="20"/>
        </w:rPr>
        <w:t>relativo alla durata certa</w:t>
      </w:r>
      <w:r w:rsidR="00961A43" w:rsidRPr="00DE65C2">
        <w:rPr>
          <w:rFonts w:ascii="Tahoma" w:hAnsi="Tahoma" w:cs="Tahoma"/>
          <w:bCs/>
          <w:sz w:val="20"/>
          <w:szCs w:val="20"/>
        </w:rPr>
        <w:t xml:space="preserve"> (tre anni)</w:t>
      </w:r>
      <w:r w:rsidR="00AF0B08" w:rsidRPr="00DE65C2">
        <w:rPr>
          <w:rFonts w:ascii="Tahoma" w:hAnsi="Tahoma" w:cs="Tahoma"/>
          <w:bCs/>
          <w:sz w:val="20"/>
          <w:szCs w:val="20"/>
        </w:rPr>
        <w:t xml:space="preserve"> </w:t>
      </w:r>
      <w:r w:rsidRPr="00DE65C2">
        <w:rPr>
          <w:rFonts w:ascii="Tahoma" w:hAnsi="Tahoma" w:cs="Tahoma"/>
          <w:bCs/>
          <w:sz w:val="20"/>
          <w:szCs w:val="20"/>
        </w:rPr>
        <w:t xml:space="preserve">è di </w:t>
      </w:r>
      <w:r w:rsidR="00DE65C2" w:rsidRPr="00DE65C2">
        <w:rPr>
          <w:rFonts w:ascii="Tahoma" w:hAnsi="Tahoma" w:cs="Tahoma"/>
          <w:b/>
          <w:bCs/>
          <w:sz w:val="20"/>
          <w:szCs w:val="20"/>
        </w:rPr>
        <w:t>€</w:t>
      </w:r>
      <w:r w:rsidRPr="00DE65C2">
        <w:rPr>
          <w:rFonts w:ascii="Tahoma" w:hAnsi="Tahoma" w:cs="Tahoma"/>
          <w:b/>
          <w:bCs/>
          <w:sz w:val="20"/>
          <w:szCs w:val="20"/>
        </w:rPr>
        <w:t xml:space="preserve"> </w:t>
      </w:r>
      <w:r w:rsidR="000E08FB" w:rsidRPr="00DE65C2">
        <w:rPr>
          <w:rFonts w:ascii="Tahoma" w:hAnsi="Tahoma" w:cs="Tahoma"/>
          <w:b/>
          <w:bCs/>
          <w:sz w:val="20"/>
          <w:szCs w:val="20"/>
        </w:rPr>
        <w:t>689.750,08</w:t>
      </w:r>
      <w:r w:rsidR="000E08FB" w:rsidRPr="00DE65C2">
        <w:rPr>
          <w:rFonts w:ascii="Tahoma" w:hAnsi="Tahoma" w:cs="Tahoma"/>
          <w:bCs/>
          <w:sz w:val="20"/>
          <w:szCs w:val="20"/>
        </w:rPr>
        <w:t xml:space="preserve"> (euro seicentottantanovemilasettecentocinquanta/08) </w:t>
      </w:r>
      <w:r w:rsidR="00AF0B08" w:rsidRPr="00DE65C2">
        <w:rPr>
          <w:rFonts w:ascii="Tahoma" w:hAnsi="Tahoma" w:cs="Tahoma"/>
          <w:bCs/>
          <w:sz w:val="20"/>
          <w:szCs w:val="20"/>
        </w:rPr>
        <w:t>oltre</w:t>
      </w:r>
      <w:r w:rsidRPr="00DE65C2">
        <w:rPr>
          <w:rFonts w:ascii="Tahoma" w:hAnsi="Tahoma" w:cs="Tahoma"/>
          <w:bCs/>
          <w:sz w:val="20"/>
          <w:szCs w:val="20"/>
        </w:rPr>
        <w:t xml:space="preserve"> Iva </w:t>
      </w:r>
      <w:r w:rsidR="00560F50" w:rsidRPr="00DE65C2">
        <w:rPr>
          <w:rFonts w:ascii="Tahoma" w:hAnsi="Tahoma" w:cs="Tahoma"/>
          <w:bCs/>
          <w:sz w:val="20"/>
          <w:szCs w:val="20"/>
        </w:rPr>
        <w:t>di cui</w:t>
      </w:r>
      <w:r w:rsidR="008E1F2C" w:rsidRPr="00DE65C2">
        <w:rPr>
          <w:rFonts w:ascii="Tahoma" w:hAnsi="Tahoma" w:cs="Tahoma"/>
          <w:bCs/>
          <w:sz w:val="20"/>
          <w:szCs w:val="20"/>
        </w:rPr>
        <w:t xml:space="preserve"> </w:t>
      </w:r>
      <w:r w:rsidR="00DE65C2" w:rsidRPr="00DE65C2">
        <w:rPr>
          <w:rFonts w:ascii="Tahoma" w:hAnsi="Tahoma" w:cs="Tahoma"/>
          <w:b/>
          <w:bCs/>
          <w:sz w:val="20"/>
          <w:szCs w:val="20"/>
        </w:rPr>
        <w:t>€</w:t>
      </w:r>
      <w:r w:rsidR="00AF0B08" w:rsidRPr="00DE65C2">
        <w:rPr>
          <w:rFonts w:ascii="Tahoma" w:hAnsi="Tahoma" w:cs="Tahoma"/>
          <w:b/>
          <w:bCs/>
          <w:sz w:val="20"/>
          <w:szCs w:val="20"/>
        </w:rPr>
        <w:t xml:space="preserve"> 6.793,02</w:t>
      </w:r>
      <w:r w:rsidRPr="00DE65C2">
        <w:rPr>
          <w:rFonts w:ascii="Tahoma" w:hAnsi="Tahoma" w:cs="Tahoma"/>
          <w:bCs/>
          <w:sz w:val="20"/>
          <w:szCs w:val="20"/>
        </w:rPr>
        <w:t xml:space="preserve"> </w:t>
      </w:r>
      <w:r w:rsidR="00AF0B08" w:rsidRPr="00DE65C2">
        <w:rPr>
          <w:rFonts w:ascii="Tahoma" w:hAnsi="Tahoma" w:cs="Tahoma"/>
          <w:bCs/>
          <w:sz w:val="20"/>
          <w:szCs w:val="20"/>
        </w:rPr>
        <w:t xml:space="preserve">(seimilasettecentonovantatre/02), per oneri della sicurezza </w:t>
      </w:r>
      <w:r w:rsidR="00491D74" w:rsidRPr="00DE65C2">
        <w:rPr>
          <w:rFonts w:ascii="Tahoma" w:hAnsi="Tahoma" w:cs="Tahoma"/>
          <w:bCs/>
          <w:sz w:val="20"/>
          <w:szCs w:val="20"/>
        </w:rPr>
        <w:t xml:space="preserve">scaturenti dal DUVRI </w:t>
      </w:r>
      <w:r w:rsidR="00AF0B08" w:rsidRPr="00DE65C2">
        <w:rPr>
          <w:rFonts w:ascii="Tahoma" w:hAnsi="Tahoma" w:cs="Tahoma"/>
          <w:bCs/>
          <w:sz w:val="20"/>
          <w:szCs w:val="20"/>
        </w:rPr>
        <w:t xml:space="preserve">non soggetti a </w:t>
      </w:r>
      <w:r w:rsidR="00202E1B" w:rsidRPr="00DE65C2">
        <w:rPr>
          <w:rFonts w:ascii="Tahoma" w:hAnsi="Tahoma" w:cs="Tahoma"/>
          <w:bCs/>
          <w:sz w:val="20"/>
          <w:szCs w:val="20"/>
        </w:rPr>
        <w:t>r</w:t>
      </w:r>
      <w:r w:rsidR="00AF0B08" w:rsidRPr="00DE65C2">
        <w:rPr>
          <w:rFonts w:ascii="Tahoma" w:hAnsi="Tahoma" w:cs="Tahoma"/>
          <w:bCs/>
          <w:sz w:val="20"/>
          <w:szCs w:val="20"/>
        </w:rPr>
        <w:t>ibasso.</w:t>
      </w:r>
      <w:r w:rsidR="00C77D09" w:rsidRPr="00DE65C2">
        <w:rPr>
          <w:rFonts w:ascii="Tahoma" w:hAnsi="Tahoma" w:cs="Tahoma"/>
          <w:bCs/>
          <w:sz w:val="20"/>
          <w:szCs w:val="20"/>
        </w:rPr>
        <w:t xml:space="preserve"> </w:t>
      </w:r>
      <w:r w:rsidRPr="00DE65C2">
        <w:rPr>
          <w:rFonts w:ascii="Tahoma" w:hAnsi="Tahoma" w:cs="Tahoma"/>
          <w:sz w:val="20"/>
          <w:szCs w:val="20"/>
        </w:rPr>
        <w:t xml:space="preserve">Ai sensi dell'art. 23 comma 16 del Codice l'importo a base d'asta comprende i costi della manodopera che la </w:t>
      </w:r>
      <w:r w:rsidR="005F527A" w:rsidRPr="00DE65C2">
        <w:rPr>
          <w:rFonts w:ascii="Tahoma" w:hAnsi="Tahoma" w:cs="Tahoma"/>
          <w:sz w:val="20"/>
          <w:szCs w:val="20"/>
        </w:rPr>
        <w:t>S</w:t>
      </w:r>
      <w:r w:rsidRPr="00DE65C2">
        <w:rPr>
          <w:rFonts w:ascii="Tahoma" w:hAnsi="Tahoma" w:cs="Tahoma"/>
          <w:sz w:val="20"/>
          <w:szCs w:val="20"/>
        </w:rPr>
        <w:t xml:space="preserve">tazione </w:t>
      </w:r>
      <w:r w:rsidR="005F527A" w:rsidRPr="00DE65C2">
        <w:rPr>
          <w:rFonts w:ascii="Tahoma" w:hAnsi="Tahoma" w:cs="Tahoma"/>
          <w:sz w:val="20"/>
          <w:szCs w:val="20"/>
        </w:rPr>
        <w:t>A</w:t>
      </w:r>
      <w:r w:rsidRPr="00DE65C2">
        <w:rPr>
          <w:rFonts w:ascii="Tahoma" w:hAnsi="Tahoma" w:cs="Tahoma"/>
          <w:sz w:val="20"/>
          <w:szCs w:val="20"/>
        </w:rPr>
        <w:t xml:space="preserve">ppaltante ha stimato pari ad </w:t>
      </w:r>
      <w:r w:rsidR="00DE65C2" w:rsidRPr="00DE65C2">
        <w:rPr>
          <w:rFonts w:ascii="Tahoma" w:hAnsi="Tahoma" w:cs="Tahoma"/>
          <w:bCs/>
          <w:sz w:val="20"/>
          <w:szCs w:val="20"/>
        </w:rPr>
        <w:t>€</w:t>
      </w:r>
      <w:r w:rsidRPr="00DE65C2">
        <w:rPr>
          <w:rFonts w:ascii="Tahoma" w:hAnsi="Tahoma" w:cs="Tahoma"/>
          <w:bCs/>
          <w:sz w:val="20"/>
          <w:szCs w:val="20"/>
        </w:rPr>
        <w:t xml:space="preserve"> </w:t>
      </w:r>
      <w:r w:rsidR="000E08FB" w:rsidRPr="00DE65C2">
        <w:rPr>
          <w:rFonts w:ascii="Tahoma" w:hAnsi="Tahoma" w:cs="Tahoma"/>
          <w:b/>
          <w:bCs/>
          <w:sz w:val="20"/>
          <w:szCs w:val="20"/>
        </w:rPr>
        <w:t>662.077,06</w:t>
      </w:r>
      <w:r w:rsidR="000E08FB" w:rsidRPr="00DE65C2">
        <w:rPr>
          <w:rFonts w:ascii="Tahoma" w:hAnsi="Tahoma" w:cs="Tahoma"/>
          <w:bCs/>
          <w:sz w:val="20"/>
          <w:szCs w:val="20"/>
        </w:rPr>
        <w:t xml:space="preserve"> (euro seicentosessantaduemilasettantasette/06)</w:t>
      </w:r>
      <w:r w:rsidR="00961A43" w:rsidRPr="00DE65C2">
        <w:rPr>
          <w:rFonts w:ascii="Tahoma" w:hAnsi="Tahoma" w:cs="Tahoma"/>
          <w:bCs/>
          <w:sz w:val="20"/>
          <w:szCs w:val="20"/>
        </w:rPr>
        <w:t>.</w:t>
      </w:r>
      <w:r w:rsidR="004A073A">
        <w:rPr>
          <w:rFonts w:ascii="Tahoma" w:hAnsi="Tahoma" w:cs="Tahoma"/>
          <w:bCs/>
          <w:sz w:val="20"/>
          <w:szCs w:val="20"/>
        </w:rPr>
        <w:t xml:space="preserve"> </w:t>
      </w:r>
      <w:r w:rsidR="004F3F41" w:rsidRPr="00DE65C2">
        <w:rPr>
          <w:rFonts w:ascii="Tahoma" w:hAnsi="Tahoma" w:cs="Tahoma"/>
          <w:bCs/>
          <w:sz w:val="20"/>
          <w:szCs w:val="20"/>
        </w:rPr>
        <w:t xml:space="preserve">L'importo complessivo presunto dell'appalto comprensivo </w:t>
      </w:r>
      <w:r w:rsidR="00560F50" w:rsidRPr="00DE65C2">
        <w:rPr>
          <w:rFonts w:ascii="Tahoma" w:hAnsi="Tahoma" w:cs="Tahoma"/>
          <w:bCs/>
          <w:sz w:val="20"/>
          <w:szCs w:val="20"/>
        </w:rPr>
        <w:t>del periodo di eventuale</w:t>
      </w:r>
      <w:r w:rsidR="004F3F41" w:rsidRPr="00DE65C2">
        <w:rPr>
          <w:rFonts w:ascii="Tahoma" w:hAnsi="Tahoma" w:cs="Tahoma"/>
          <w:bCs/>
          <w:sz w:val="20"/>
          <w:szCs w:val="20"/>
        </w:rPr>
        <w:t xml:space="preserve"> rinnov</w:t>
      </w:r>
      <w:r w:rsidR="00560F50" w:rsidRPr="00DE65C2">
        <w:rPr>
          <w:rFonts w:ascii="Tahoma" w:hAnsi="Tahoma" w:cs="Tahoma"/>
          <w:bCs/>
          <w:sz w:val="20"/>
          <w:szCs w:val="20"/>
        </w:rPr>
        <w:t xml:space="preserve">o </w:t>
      </w:r>
      <w:r w:rsidR="00FD0E8A" w:rsidRPr="00DE65C2">
        <w:rPr>
          <w:rFonts w:ascii="Tahoma" w:hAnsi="Tahoma" w:cs="Tahoma"/>
          <w:bCs/>
          <w:sz w:val="20"/>
          <w:szCs w:val="20"/>
        </w:rPr>
        <w:t>(tre anni) a</w:t>
      </w:r>
      <w:r w:rsidR="00560F50" w:rsidRPr="00DE65C2">
        <w:rPr>
          <w:rFonts w:ascii="Tahoma" w:hAnsi="Tahoma" w:cs="Tahoma"/>
          <w:bCs/>
          <w:sz w:val="20"/>
          <w:szCs w:val="20"/>
        </w:rPr>
        <w:t>i sensi dell'art. 35</w:t>
      </w:r>
      <w:r w:rsidR="00961A43" w:rsidRPr="00DE65C2">
        <w:rPr>
          <w:rFonts w:ascii="Tahoma" w:hAnsi="Tahoma" w:cs="Tahoma"/>
          <w:bCs/>
          <w:sz w:val="20"/>
          <w:szCs w:val="20"/>
        </w:rPr>
        <w:t xml:space="preserve"> comma 4 del </w:t>
      </w:r>
      <w:r w:rsidR="005F527A" w:rsidRPr="00DE65C2">
        <w:rPr>
          <w:rFonts w:ascii="Tahoma" w:hAnsi="Tahoma" w:cs="Tahoma"/>
          <w:bCs/>
          <w:sz w:val="20"/>
          <w:szCs w:val="20"/>
        </w:rPr>
        <w:t>C</w:t>
      </w:r>
      <w:r w:rsidR="00961A43" w:rsidRPr="00DE65C2">
        <w:rPr>
          <w:rFonts w:ascii="Tahoma" w:hAnsi="Tahoma" w:cs="Tahoma"/>
          <w:bCs/>
          <w:sz w:val="20"/>
          <w:szCs w:val="20"/>
        </w:rPr>
        <w:t xml:space="preserve">odice ammonta ad </w:t>
      </w:r>
      <w:r w:rsidR="00DE65C2" w:rsidRPr="00DE65C2">
        <w:rPr>
          <w:rFonts w:ascii="Tahoma" w:hAnsi="Tahoma" w:cs="Tahoma"/>
          <w:bCs/>
          <w:sz w:val="20"/>
          <w:szCs w:val="20"/>
        </w:rPr>
        <w:t>€</w:t>
      </w:r>
      <w:r w:rsidR="00560F50" w:rsidRPr="00DE65C2">
        <w:rPr>
          <w:rFonts w:ascii="Tahoma" w:hAnsi="Tahoma" w:cs="Tahoma"/>
          <w:bCs/>
          <w:sz w:val="20"/>
          <w:szCs w:val="20"/>
        </w:rPr>
        <w:t xml:space="preserve"> </w:t>
      </w:r>
      <w:r w:rsidR="000E08FB" w:rsidRPr="00DE65C2">
        <w:rPr>
          <w:rFonts w:ascii="Tahoma" w:hAnsi="Tahoma" w:cs="Tahoma"/>
          <w:b/>
          <w:bCs/>
          <w:sz w:val="20"/>
          <w:szCs w:val="20"/>
        </w:rPr>
        <w:t>1.379.500,16</w:t>
      </w:r>
      <w:r w:rsidR="000E08FB" w:rsidRPr="00DE65C2">
        <w:rPr>
          <w:rFonts w:ascii="Tahoma" w:hAnsi="Tahoma" w:cs="Tahoma"/>
          <w:bCs/>
          <w:sz w:val="20"/>
          <w:szCs w:val="20"/>
        </w:rPr>
        <w:t xml:space="preserve"> (euro unmilionetrecentosettantanovemilacinquecento/16) </w:t>
      </w:r>
      <w:r w:rsidR="00AF0B08" w:rsidRPr="00DE65C2">
        <w:rPr>
          <w:rFonts w:ascii="Tahoma" w:hAnsi="Tahoma" w:cs="Tahoma"/>
          <w:bCs/>
          <w:sz w:val="20"/>
          <w:szCs w:val="20"/>
        </w:rPr>
        <w:t>oltre IVA.</w:t>
      </w:r>
    </w:p>
    <w:p w:rsidR="00855618" w:rsidRPr="000E08FB" w:rsidRDefault="00566972" w:rsidP="00C77D09">
      <w:pPr>
        <w:shd w:val="clear" w:color="auto" w:fill="FFFFFF" w:themeFill="background1"/>
        <w:ind w:right="260"/>
        <w:jc w:val="both"/>
        <w:rPr>
          <w:rFonts w:ascii="Tahoma" w:hAnsi="Tahoma" w:cs="Tahoma"/>
          <w:sz w:val="20"/>
          <w:szCs w:val="20"/>
          <w:shd w:val="clear" w:color="auto" w:fill="FFFFFF" w:themeFill="background1"/>
        </w:rPr>
      </w:pPr>
      <w:r w:rsidRPr="000E08FB">
        <w:rPr>
          <w:rFonts w:ascii="Tahoma" w:hAnsi="Tahoma" w:cs="Tahoma"/>
          <w:b/>
          <w:sz w:val="20"/>
          <w:szCs w:val="20"/>
        </w:rPr>
        <w:t xml:space="preserve">II.1.6) Informazioni relative ai lotti. </w:t>
      </w:r>
      <w:r w:rsidRPr="000E08FB">
        <w:rPr>
          <w:rFonts w:ascii="Tahoma" w:hAnsi="Tahoma" w:cs="Tahoma"/>
          <w:sz w:val="20"/>
          <w:szCs w:val="20"/>
          <w:shd w:val="clear" w:color="auto" w:fill="FFFFFF" w:themeFill="background1"/>
        </w:rPr>
        <w:t xml:space="preserve">L'appalto </w:t>
      </w:r>
      <w:r w:rsidR="00855618" w:rsidRPr="000E08FB">
        <w:rPr>
          <w:rFonts w:ascii="Tahoma" w:hAnsi="Tahoma" w:cs="Tahoma"/>
          <w:sz w:val="20"/>
          <w:szCs w:val="20"/>
          <w:shd w:val="clear" w:color="auto" w:fill="FFFFFF" w:themeFill="background1"/>
        </w:rPr>
        <w:t xml:space="preserve">non è </w:t>
      </w:r>
      <w:r w:rsidRPr="000E08FB">
        <w:rPr>
          <w:rFonts w:ascii="Tahoma" w:hAnsi="Tahoma" w:cs="Tahoma"/>
          <w:sz w:val="20"/>
          <w:szCs w:val="20"/>
          <w:shd w:val="clear" w:color="auto" w:fill="FFFFFF" w:themeFill="background1"/>
        </w:rPr>
        <w:t>suddiviso in lotti</w:t>
      </w:r>
      <w:r w:rsidR="00855618" w:rsidRPr="000E08FB">
        <w:rPr>
          <w:rFonts w:ascii="Tahoma" w:hAnsi="Tahoma" w:cs="Tahoma"/>
          <w:sz w:val="20"/>
          <w:szCs w:val="20"/>
          <w:shd w:val="clear" w:color="auto" w:fill="FFFFFF" w:themeFill="background1"/>
        </w:rPr>
        <w:t xml:space="preserve"> in quanto, le attività oggetto del presente appalto fanno parte di un’u</w:t>
      </w:r>
      <w:r w:rsidR="005F527A">
        <w:rPr>
          <w:rFonts w:ascii="Tahoma" w:hAnsi="Tahoma" w:cs="Tahoma"/>
          <w:sz w:val="20"/>
          <w:szCs w:val="20"/>
          <w:shd w:val="clear" w:color="auto" w:fill="FFFFFF" w:themeFill="background1"/>
        </w:rPr>
        <w:t xml:space="preserve">nica tipologia di prestazione, </w:t>
      </w:r>
      <w:r w:rsidR="00855618" w:rsidRPr="000E08FB">
        <w:rPr>
          <w:rFonts w:ascii="Tahoma" w:hAnsi="Tahoma" w:cs="Tahoma"/>
          <w:sz w:val="20"/>
          <w:szCs w:val="20"/>
          <w:shd w:val="clear" w:color="auto" w:fill="FFFFFF" w:themeFill="background1"/>
        </w:rPr>
        <w:t>il cui affidamento a più operatori economici ne renderebbe complessa la gestione da un punto di vista tecnico,</w:t>
      </w:r>
      <w:r w:rsidR="008E1F2C" w:rsidRPr="000E08FB">
        <w:rPr>
          <w:rFonts w:ascii="Tahoma" w:hAnsi="Tahoma" w:cs="Tahoma"/>
          <w:sz w:val="20"/>
          <w:szCs w:val="20"/>
          <w:shd w:val="clear" w:color="auto" w:fill="FFFFFF" w:themeFill="background1"/>
        </w:rPr>
        <w:t xml:space="preserve"> </w:t>
      </w:r>
      <w:r w:rsidR="00855618" w:rsidRPr="000E08FB">
        <w:rPr>
          <w:rFonts w:ascii="Tahoma" w:hAnsi="Tahoma" w:cs="Tahoma"/>
          <w:sz w:val="20"/>
          <w:szCs w:val="20"/>
          <w:shd w:val="clear" w:color="auto" w:fill="FFFFFF" w:themeFill="background1"/>
        </w:rPr>
        <w:t>organizzativo e logistico, con conseguenti problematiche di coordinamento da parte della committenza</w:t>
      </w:r>
      <w:r w:rsidR="000E08FB">
        <w:rPr>
          <w:rFonts w:ascii="Tahoma" w:hAnsi="Tahoma" w:cs="Tahoma"/>
          <w:sz w:val="20"/>
          <w:szCs w:val="20"/>
          <w:shd w:val="clear" w:color="auto" w:fill="FFFFFF" w:themeFill="background1"/>
        </w:rPr>
        <w:t xml:space="preserve"> stessa</w:t>
      </w:r>
      <w:r w:rsidR="00855618" w:rsidRPr="000E08FB">
        <w:rPr>
          <w:rFonts w:ascii="Tahoma" w:hAnsi="Tahoma" w:cs="Tahoma"/>
          <w:sz w:val="20"/>
          <w:szCs w:val="20"/>
          <w:shd w:val="clear" w:color="auto" w:fill="FFFFFF" w:themeFill="background1"/>
        </w:rPr>
        <w:t xml:space="preserve"> ed ulteriori oneri economici e finanziari. </w:t>
      </w:r>
    </w:p>
    <w:p w:rsidR="00C77D09" w:rsidRPr="000E08FB" w:rsidRDefault="00C77D09" w:rsidP="000E08FB">
      <w:pPr>
        <w:shd w:val="clear" w:color="auto" w:fill="FFFFFF"/>
        <w:spacing w:before="240"/>
        <w:ind w:right="260"/>
        <w:jc w:val="both"/>
        <w:rPr>
          <w:rFonts w:ascii="Tahoma" w:hAnsi="Tahoma" w:cs="Tahoma"/>
          <w:b/>
          <w:bCs/>
          <w:kern w:val="1"/>
          <w:sz w:val="20"/>
          <w:szCs w:val="20"/>
          <w:u w:val="single"/>
        </w:rPr>
      </w:pPr>
      <w:r w:rsidRPr="000E08FB">
        <w:rPr>
          <w:rFonts w:ascii="Tahoma" w:hAnsi="Tahoma" w:cs="Tahoma"/>
          <w:b/>
          <w:bCs/>
          <w:kern w:val="1"/>
          <w:sz w:val="20"/>
          <w:szCs w:val="20"/>
          <w:u w:val="single"/>
        </w:rPr>
        <w:t>II.2) Descrizione</w:t>
      </w:r>
    </w:p>
    <w:p w:rsidR="00566972" w:rsidRPr="000E08FB" w:rsidRDefault="00566972" w:rsidP="00C77D09">
      <w:pPr>
        <w:autoSpaceDE w:val="0"/>
        <w:ind w:right="260"/>
        <w:rPr>
          <w:rFonts w:ascii="Tahoma" w:hAnsi="Tahoma" w:cs="Tahoma"/>
          <w:b/>
          <w:sz w:val="20"/>
          <w:szCs w:val="20"/>
        </w:rPr>
      </w:pPr>
      <w:r w:rsidRPr="000E08FB">
        <w:rPr>
          <w:rFonts w:ascii="Tahoma" w:hAnsi="Tahoma" w:cs="Tahoma"/>
          <w:b/>
          <w:sz w:val="20"/>
          <w:szCs w:val="20"/>
        </w:rPr>
        <w:t xml:space="preserve">II.2.3) Luogo di esecuzione dei </w:t>
      </w:r>
      <w:r w:rsidR="004F3F41" w:rsidRPr="000E08FB">
        <w:rPr>
          <w:rFonts w:ascii="Tahoma" w:hAnsi="Tahoma" w:cs="Tahoma"/>
          <w:b/>
          <w:sz w:val="20"/>
          <w:szCs w:val="20"/>
        </w:rPr>
        <w:t>servizi</w:t>
      </w:r>
      <w:r w:rsidRPr="000E08FB">
        <w:rPr>
          <w:rFonts w:ascii="Tahoma" w:hAnsi="Tahoma" w:cs="Tahoma"/>
          <w:b/>
          <w:sz w:val="20"/>
          <w:szCs w:val="20"/>
        </w:rPr>
        <w:t xml:space="preserve">: </w:t>
      </w:r>
      <w:r w:rsidR="004A073A">
        <w:rPr>
          <w:rFonts w:ascii="Tahoma" w:hAnsi="Tahoma" w:cs="Tahoma"/>
          <w:sz w:val="20"/>
          <w:szCs w:val="20"/>
        </w:rPr>
        <w:t>L</w:t>
      </w:r>
      <w:r w:rsidR="004F3F41" w:rsidRPr="000E08FB">
        <w:rPr>
          <w:rFonts w:ascii="Tahoma" w:hAnsi="Tahoma" w:cs="Tahoma"/>
          <w:sz w:val="20"/>
          <w:szCs w:val="20"/>
        </w:rPr>
        <w:t>ocali Sede della CNPADC siti in Roma – Via Mantova, 1</w:t>
      </w:r>
      <w:r w:rsidR="005D7F92" w:rsidRPr="000E08FB">
        <w:rPr>
          <w:rFonts w:ascii="Tahoma" w:hAnsi="Tahoma" w:cs="Tahoma"/>
          <w:sz w:val="20"/>
          <w:szCs w:val="20"/>
        </w:rPr>
        <w:t xml:space="preserve"> (</w:t>
      </w:r>
      <w:r w:rsidR="005D7F92" w:rsidRPr="000E08FB">
        <w:rPr>
          <w:rFonts w:ascii="Arial" w:hAnsi="Arial" w:cs="Arial"/>
          <w:sz w:val="20"/>
          <w:szCs w:val="20"/>
        </w:rPr>
        <w:t>Palazzina A e B).</w:t>
      </w:r>
    </w:p>
    <w:p w:rsidR="00566972" w:rsidRPr="000E08FB" w:rsidRDefault="00566972" w:rsidP="00C77D09">
      <w:pPr>
        <w:ind w:right="260"/>
        <w:jc w:val="both"/>
        <w:rPr>
          <w:rFonts w:ascii="Tahoma" w:hAnsi="Tahoma" w:cs="Tahoma"/>
          <w:sz w:val="20"/>
          <w:szCs w:val="20"/>
        </w:rPr>
      </w:pPr>
      <w:r w:rsidRPr="000E08FB">
        <w:rPr>
          <w:rFonts w:ascii="Tahoma" w:hAnsi="Tahoma" w:cs="Tahoma"/>
          <w:b/>
          <w:sz w:val="20"/>
          <w:szCs w:val="20"/>
        </w:rPr>
        <w:t xml:space="preserve">II.2.5) Criterio di aggiudicazione: </w:t>
      </w:r>
      <w:r w:rsidR="004A073A">
        <w:rPr>
          <w:rFonts w:ascii="Tahoma" w:hAnsi="Tahoma" w:cs="Tahoma"/>
          <w:sz w:val="20"/>
          <w:szCs w:val="20"/>
        </w:rPr>
        <w:t>C</w:t>
      </w:r>
      <w:r w:rsidRPr="000E08FB">
        <w:rPr>
          <w:rFonts w:ascii="Tahoma" w:hAnsi="Tahoma" w:cs="Tahoma"/>
          <w:sz w:val="20"/>
          <w:szCs w:val="20"/>
        </w:rPr>
        <w:t>riterio dell'offerta economicamente più vantaggiosa sulla base del rapporto qualità-</w:t>
      </w:r>
      <w:r w:rsidR="007F1F09">
        <w:rPr>
          <w:rFonts w:ascii="Tahoma" w:hAnsi="Tahoma" w:cs="Tahoma"/>
          <w:sz w:val="20"/>
          <w:szCs w:val="20"/>
        </w:rPr>
        <w:t>prezzo di cui all'art</w:t>
      </w:r>
      <w:r w:rsidR="004A073A">
        <w:rPr>
          <w:rFonts w:ascii="Tahoma" w:hAnsi="Tahoma" w:cs="Tahoma"/>
          <w:sz w:val="20"/>
          <w:szCs w:val="20"/>
        </w:rPr>
        <w:t>.</w:t>
      </w:r>
      <w:r w:rsidR="007F1F09">
        <w:rPr>
          <w:rFonts w:ascii="Tahoma" w:hAnsi="Tahoma" w:cs="Tahoma"/>
          <w:sz w:val="20"/>
          <w:szCs w:val="20"/>
        </w:rPr>
        <w:t xml:space="preserve"> 95 comma 2</w:t>
      </w:r>
      <w:r w:rsidRPr="000E08FB">
        <w:rPr>
          <w:rFonts w:ascii="Tahoma" w:hAnsi="Tahoma" w:cs="Tahoma"/>
          <w:sz w:val="20"/>
          <w:szCs w:val="20"/>
        </w:rPr>
        <w:t xml:space="preserve"> del D.</w:t>
      </w:r>
      <w:r w:rsidR="004A073A">
        <w:rPr>
          <w:rFonts w:ascii="Tahoma" w:hAnsi="Tahoma" w:cs="Tahoma"/>
          <w:sz w:val="20"/>
          <w:szCs w:val="20"/>
        </w:rPr>
        <w:t>L</w:t>
      </w:r>
      <w:r w:rsidRPr="000E08FB">
        <w:rPr>
          <w:rFonts w:ascii="Tahoma" w:hAnsi="Tahoma" w:cs="Tahoma"/>
          <w:sz w:val="20"/>
          <w:szCs w:val="20"/>
        </w:rPr>
        <w:t>gs. 50/2016</w:t>
      </w:r>
      <w:r w:rsidR="000E08FB">
        <w:rPr>
          <w:rFonts w:ascii="Tahoma" w:hAnsi="Tahoma" w:cs="Tahoma"/>
          <w:sz w:val="20"/>
          <w:szCs w:val="20"/>
        </w:rPr>
        <w:t xml:space="preserve"> </w:t>
      </w:r>
      <w:r w:rsidR="000E08FB">
        <w:rPr>
          <w:rFonts w:asciiTheme="minorHAnsi" w:hAnsiTheme="minorHAnsi" w:cs="Tahoma"/>
          <w:sz w:val="22"/>
          <w:szCs w:val="22"/>
        </w:rPr>
        <w:t>s.m.i.</w:t>
      </w:r>
      <w:r w:rsidRPr="000E08FB">
        <w:rPr>
          <w:rFonts w:ascii="Tahoma" w:hAnsi="Tahoma" w:cs="Tahoma"/>
          <w:sz w:val="20"/>
          <w:szCs w:val="20"/>
        </w:rPr>
        <w:t xml:space="preserve"> </w:t>
      </w:r>
    </w:p>
    <w:p w:rsidR="00C85534" w:rsidRPr="000E08FB" w:rsidRDefault="00566972" w:rsidP="00C77D09">
      <w:pPr>
        <w:ind w:right="260"/>
        <w:jc w:val="both"/>
        <w:rPr>
          <w:rFonts w:ascii="Tahoma" w:hAnsi="Tahoma" w:cs="Tahoma"/>
          <w:sz w:val="20"/>
          <w:szCs w:val="20"/>
        </w:rPr>
      </w:pPr>
      <w:r w:rsidRPr="000E08FB">
        <w:rPr>
          <w:rFonts w:ascii="Tahoma" w:hAnsi="Tahoma" w:cs="Tahoma"/>
          <w:b/>
          <w:sz w:val="20"/>
          <w:szCs w:val="20"/>
        </w:rPr>
        <w:lastRenderedPageBreak/>
        <w:t>II.2.7) Durata del contratto d'appalto:</w:t>
      </w:r>
      <w:r w:rsidR="00C77D09" w:rsidRPr="000E08FB">
        <w:rPr>
          <w:rFonts w:ascii="Tahoma" w:hAnsi="Tahoma" w:cs="Tahoma"/>
          <w:b/>
          <w:sz w:val="20"/>
          <w:szCs w:val="20"/>
        </w:rPr>
        <w:t xml:space="preserve"> </w:t>
      </w:r>
      <w:r w:rsidR="004F3F41" w:rsidRPr="000E08FB">
        <w:rPr>
          <w:rFonts w:ascii="Tahoma" w:hAnsi="Tahoma" w:cs="Tahoma"/>
          <w:sz w:val="20"/>
          <w:szCs w:val="20"/>
        </w:rPr>
        <w:t xml:space="preserve">La durata del contratto è fissata in tre anni a decorrere </w:t>
      </w:r>
      <w:r w:rsidR="000E08FB" w:rsidRPr="000E08FB">
        <w:rPr>
          <w:rFonts w:ascii="Tahoma" w:hAnsi="Tahoma" w:cs="Tahoma"/>
          <w:sz w:val="20"/>
          <w:szCs w:val="20"/>
        </w:rPr>
        <w:t>dalla data di avvio del servizio</w:t>
      </w:r>
      <w:r w:rsidR="000E08FB">
        <w:rPr>
          <w:rFonts w:ascii="Tahoma" w:hAnsi="Tahoma" w:cs="Tahoma"/>
          <w:sz w:val="20"/>
          <w:szCs w:val="20"/>
        </w:rPr>
        <w:t xml:space="preserve"> </w:t>
      </w:r>
      <w:r w:rsidR="000E08FB" w:rsidRPr="000E08FB">
        <w:rPr>
          <w:rFonts w:ascii="Tahoma" w:hAnsi="Tahoma" w:cs="Tahoma"/>
          <w:sz w:val="20"/>
          <w:szCs w:val="20"/>
        </w:rPr>
        <w:t>risultante da apposito verbale redatto in contraddittorio tra l’appaltatore e la CNPADC, fino al termine del 36° mese successivo. Tuttavia</w:t>
      </w:r>
      <w:r w:rsidR="004A073A">
        <w:rPr>
          <w:rFonts w:ascii="Tahoma" w:hAnsi="Tahoma" w:cs="Tahoma"/>
          <w:sz w:val="20"/>
          <w:szCs w:val="20"/>
        </w:rPr>
        <w:t>,</w:t>
      </w:r>
      <w:r w:rsidR="000E08FB" w:rsidRPr="000E08FB">
        <w:rPr>
          <w:rFonts w:ascii="Tahoma" w:hAnsi="Tahoma" w:cs="Tahoma"/>
          <w:sz w:val="20"/>
          <w:szCs w:val="20"/>
        </w:rPr>
        <w:t xml:space="preserve"> se necessario, nelle more della stipula del contratto, fermo restando il rispetto delle disposizioni di cui alla normativa antimafia, la CNPADC potrà richiedere l’avvio anticipato del servizio.</w:t>
      </w:r>
    </w:p>
    <w:p w:rsidR="00566972" w:rsidRPr="000E08FB" w:rsidRDefault="00566972" w:rsidP="00C77D09">
      <w:pPr>
        <w:ind w:right="260"/>
        <w:jc w:val="both"/>
        <w:rPr>
          <w:rFonts w:ascii="Tahoma" w:hAnsi="Tahoma" w:cs="Tahoma"/>
          <w:b/>
          <w:color w:val="000000"/>
          <w:sz w:val="20"/>
          <w:szCs w:val="20"/>
        </w:rPr>
      </w:pPr>
      <w:r w:rsidRPr="000E08FB">
        <w:rPr>
          <w:rFonts w:ascii="Tahoma" w:hAnsi="Tahoma" w:cs="Tahoma"/>
          <w:b/>
          <w:sz w:val="20"/>
          <w:szCs w:val="20"/>
        </w:rPr>
        <w:t xml:space="preserve">II.2.10) </w:t>
      </w:r>
      <w:r w:rsidRPr="000E08FB">
        <w:rPr>
          <w:rFonts w:ascii="Tahoma" w:hAnsi="Tahoma" w:cs="Tahoma"/>
          <w:b/>
          <w:color w:val="000000"/>
          <w:sz w:val="20"/>
          <w:szCs w:val="20"/>
        </w:rPr>
        <w:t xml:space="preserve">Informazioni sulle varianti: </w:t>
      </w:r>
      <w:r w:rsidR="004A073A" w:rsidRPr="004A073A">
        <w:rPr>
          <w:rFonts w:ascii="Tahoma" w:hAnsi="Tahoma" w:cs="Tahoma"/>
          <w:color w:val="000000"/>
          <w:sz w:val="20"/>
          <w:szCs w:val="20"/>
        </w:rPr>
        <w:t>N</w:t>
      </w:r>
      <w:r w:rsidRPr="000E08FB">
        <w:rPr>
          <w:rFonts w:ascii="Tahoma" w:hAnsi="Tahoma" w:cs="Tahoma"/>
          <w:sz w:val="20"/>
          <w:szCs w:val="20"/>
        </w:rPr>
        <w:t>o.</w:t>
      </w:r>
    </w:p>
    <w:p w:rsidR="000E08FB" w:rsidRPr="000E08FB" w:rsidRDefault="00566972" w:rsidP="000E08FB">
      <w:pPr>
        <w:shd w:val="clear" w:color="auto" w:fill="FFFFFF"/>
        <w:ind w:right="260"/>
        <w:jc w:val="both"/>
        <w:rPr>
          <w:rFonts w:ascii="Tahoma" w:hAnsi="Tahoma" w:cs="Tahoma"/>
          <w:sz w:val="20"/>
          <w:szCs w:val="20"/>
        </w:rPr>
      </w:pPr>
      <w:r w:rsidRPr="000E08FB">
        <w:rPr>
          <w:rFonts w:ascii="Tahoma" w:hAnsi="Tahoma" w:cs="Tahoma"/>
          <w:b/>
          <w:color w:val="000000"/>
          <w:sz w:val="20"/>
          <w:szCs w:val="20"/>
        </w:rPr>
        <w:t xml:space="preserve">II.2.11) Informazioni relative alle opzioni: </w:t>
      </w:r>
      <w:r w:rsidR="000E08FB" w:rsidRPr="000E08FB">
        <w:rPr>
          <w:rFonts w:ascii="Tahoma" w:hAnsi="Tahoma" w:cs="Tahoma"/>
          <w:sz w:val="20"/>
          <w:szCs w:val="20"/>
        </w:rPr>
        <w:t xml:space="preserve">La CNPADC si riserva la facoltà, previa comunicazione scritta da inviarsi al Fornitore, di rinnovare il contratto, alle medesime condizioni, per una durata pari ad ulteriori 36 mesi. </w:t>
      </w:r>
    </w:p>
    <w:p w:rsidR="000E08FB" w:rsidRDefault="000E08FB" w:rsidP="000E08FB">
      <w:pPr>
        <w:shd w:val="clear" w:color="auto" w:fill="FFFFFF"/>
        <w:ind w:right="260"/>
        <w:jc w:val="both"/>
        <w:rPr>
          <w:rFonts w:ascii="Tahoma" w:hAnsi="Tahoma" w:cs="Tahoma"/>
          <w:sz w:val="20"/>
          <w:szCs w:val="20"/>
        </w:rPr>
      </w:pPr>
      <w:r w:rsidRPr="000E08FB">
        <w:rPr>
          <w:rFonts w:ascii="Tahoma" w:hAnsi="Tahoma" w:cs="Tahoma"/>
          <w:sz w:val="20"/>
          <w:szCs w:val="20"/>
        </w:rPr>
        <w:t>Ai sensi dell’art. 106, comma 11, del Codice, la CNPADC si riserva, nel corso dell’esecuzione del contratto l’opzione di proroga dello stesso. La proroga è limitata al tempo strettamente necessario alla conclusione delle procedure necessarie per l'individuazione di un nuovo contraente. In tal caso il contraente è tenuto all'esecuzione delle prestazioni previste nel contratto agli stessi prezzi, patti e condizioni per la stazione appaltante.</w:t>
      </w:r>
    </w:p>
    <w:p w:rsidR="00566972" w:rsidRPr="000E08FB" w:rsidRDefault="00566972" w:rsidP="000E08FB">
      <w:pPr>
        <w:shd w:val="clear" w:color="auto" w:fill="FFFFFF"/>
        <w:ind w:right="260"/>
        <w:jc w:val="both"/>
        <w:rPr>
          <w:rFonts w:ascii="Tahoma" w:hAnsi="Tahoma" w:cs="Tahoma"/>
          <w:sz w:val="20"/>
          <w:szCs w:val="20"/>
        </w:rPr>
      </w:pPr>
      <w:r w:rsidRPr="000E08FB">
        <w:rPr>
          <w:rFonts w:ascii="Tahoma" w:hAnsi="Tahoma" w:cs="Tahoma"/>
          <w:b/>
          <w:sz w:val="20"/>
          <w:szCs w:val="20"/>
        </w:rPr>
        <w:t xml:space="preserve">II.2.13) Informazioni relative ai fondi dell'Unione europea. </w:t>
      </w:r>
      <w:r w:rsidRPr="000E08FB">
        <w:rPr>
          <w:rFonts w:ascii="Tahoma" w:hAnsi="Tahoma" w:cs="Tahoma"/>
          <w:sz w:val="20"/>
          <w:szCs w:val="20"/>
        </w:rPr>
        <w:t xml:space="preserve">L'appalto </w:t>
      </w:r>
      <w:r w:rsidR="00B63189" w:rsidRPr="000E08FB">
        <w:rPr>
          <w:rFonts w:ascii="Tahoma" w:hAnsi="Tahoma" w:cs="Tahoma"/>
          <w:sz w:val="20"/>
          <w:szCs w:val="20"/>
        </w:rPr>
        <w:t xml:space="preserve">non </w:t>
      </w:r>
      <w:r w:rsidRPr="000E08FB">
        <w:rPr>
          <w:rFonts w:ascii="Tahoma" w:hAnsi="Tahoma" w:cs="Tahoma"/>
          <w:sz w:val="20"/>
          <w:szCs w:val="20"/>
        </w:rPr>
        <w:t>è connesso ad un progetto e/o programma finanziato d</w:t>
      </w:r>
      <w:r w:rsidR="00B63189" w:rsidRPr="000E08FB">
        <w:rPr>
          <w:rFonts w:ascii="Tahoma" w:hAnsi="Tahoma" w:cs="Tahoma"/>
          <w:sz w:val="20"/>
          <w:szCs w:val="20"/>
        </w:rPr>
        <w:t>a fondi dell'Unione Europea.</w:t>
      </w:r>
      <w:r w:rsidR="00C77D09" w:rsidRPr="000E08FB">
        <w:rPr>
          <w:rFonts w:ascii="Tahoma" w:hAnsi="Tahoma" w:cs="Tahoma"/>
          <w:sz w:val="20"/>
          <w:szCs w:val="20"/>
        </w:rPr>
        <w:t xml:space="preserve"> </w:t>
      </w:r>
      <w:r w:rsidRPr="000E08FB">
        <w:rPr>
          <w:rFonts w:ascii="Tahoma" w:hAnsi="Tahoma" w:cs="Tahoma"/>
          <w:sz w:val="20"/>
          <w:szCs w:val="20"/>
        </w:rPr>
        <w:t xml:space="preserve">L'appalto è finanziato </w:t>
      </w:r>
      <w:r w:rsidR="00560F50" w:rsidRPr="000E08FB">
        <w:rPr>
          <w:rFonts w:ascii="Tahoma" w:hAnsi="Tahoma" w:cs="Tahoma"/>
          <w:sz w:val="20"/>
          <w:szCs w:val="20"/>
        </w:rPr>
        <w:t>con fondi dell'Ente.</w:t>
      </w:r>
    </w:p>
    <w:p w:rsidR="00560F50" w:rsidRPr="000E08FB" w:rsidRDefault="00C77D09" w:rsidP="00C77D09">
      <w:pPr>
        <w:spacing w:before="240" w:after="240"/>
        <w:ind w:right="260"/>
        <w:jc w:val="both"/>
        <w:rPr>
          <w:rFonts w:ascii="Tahoma" w:hAnsi="Tahoma" w:cs="Tahoma"/>
          <w:b/>
          <w:sz w:val="20"/>
          <w:szCs w:val="20"/>
          <w:u w:val="single"/>
        </w:rPr>
      </w:pPr>
      <w:r w:rsidRPr="000E08FB">
        <w:rPr>
          <w:rFonts w:ascii="Tahoma" w:hAnsi="Tahoma" w:cs="Tahoma"/>
          <w:b/>
          <w:sz w:val="20"/>
          <w:szCs w:val="20"/>
          <w:u w:val="single"/>
        </w:rPr>
        <w:t>SEZIONE III: INFORMAZIONI DI CARATTERE GIURIDICO, ECONOMICO, FINANZIARIO E TECNICO</w:t>
      </w:r>
    </w:p>
    <w:p w:rsidR="00C77D09" w:rsidRPr="000E08FB" w:rsidRDefault="00C77D09" w:rsidP="00C77D09">
      <w:pPr>
        <w:shd w:val="clear" w:color="auto" w:fill="FFFFFF"/>
        <w:spacing w:before="240"/>
        <w:ind w:right="260"/>
        <w:jc w:val="both"/>
        <w:rPr>
          <w:rFonts w:ascii="Tahoma" w:hAnsi="Tahoma" w:cs="Tahoma"/>
          <w:b/>
          <w:bCs/>
          <w:kern w:val="1"/>
          <w:sz w:val="20"/>
          <w:szCs w:val="20"/>
          <w:u w:val="single"/>
        </w:rPr>
      </w:pPr>
      <w:r w:rsidRPr="000E08FB">
        <w:rPr>
          <w:rFonts w:ascii="Tahoma" w:hAnsi="Tahoma" w:cs="Tahoma"/>
          <w:b/>
          <w:bCs/>
          <w:kern w:val="1"/>
          <w:sz w:val="20"/>
          <w:szCs w:val="20"/>
          <w:u w:val="single"/>
        </w:rPr>
        <w:t>III.1) Condizioni di partecipazione</w:t>
      </w:r>
    </w:p>
    <w:p w:rsidR="00560F50" w:rsidRPr="000E08FB" w:rsidRDefault="00560F50" w:rsidP="00DE65C2">
      <w:pPr>
        <w:spacing w:after="120"/>
        <w:ind w:right="261"/>
        <w:jc w:val="both"/>
        <w:rPr>
          <w:rFonts w:ascii="Tahoma" w:hAnsi="Tahoma" w:cs="Tahoma"/>
          <w:sz w:val="20"/>
          <w:szCs w:val="20"/>
        </w:rPr>
      </w:pPr>
      <w:r w:rsidRPr="000E08FB">
        <w:rPr>
          <w:rFonts w:ascii="Tahoma" w:hAnsi="Tahoma" w:cs="Tahoma"/>
          <w:sz w:val="20"/>
          <w:szCs w:val="20"/>
        </w:rPr>
        <w:t>Sono ammessi a partecipare alla procedura di gara i soggetti di cui all’art. 45 comma 2, lettere a), b) e c) del D.Lgs. 50/2016 (costituiti sia in forma singola che in raggruppamento temporaneo ai sensi dell’art. 45, comma 2, lettere d), e), f) e g) del D.Lgs. 50/2016), nonché i soggetti di cui all’art. 45, comma 1, D.Lgs. 50/2016 costituiti conformemente alla legislazione vigente nei rispettivi Paesi, alle condizioni previste dal D.lgs. 50/2016.</w:t>
      </w:r>
      <w:r w:rsidR="00C77D09" w:rsidRPr="000E08FB">
        <w:rPr>
          <w:rFonts w:ascii="Tahoma" w:hAnsi="Tahoma" w:cs="Tahoma"/>
          <w:sz w:val="20"/>
          <w:szCs w:val="20"/>
        </w:rPr>
        <w:t xml:space="preserve"> </w:t>
      </w:r>
      <w:r w:rsidRPr="000E08FB">
        <w:rPr>
          <w:rFonts w:ascii="Tahoma" w:hAnsi="Tahoma" w:cs="Tahoma"/>
          <w:sz w:val="20"/>
          <w:szCs w:val="20"/>
        </w:rPr>
        <w:t>Ai soggetti che intendano riunirsi o consorziarsi si applicano le disposizioni di cui all’art. 48 del D.Lgs 50/2016.</w:t>
      </w:r>
      <w:r w:rsidR="00C77D09" w:rsidRPr="000E08FB">
        <w:rPr>
          <w:rFonts w:ascii="Tahoma" w:hAnsi="Tahoma" w:cs="Tahoma"/>
          <w:sz w:val="20"/>
          <w:szCs w:val="20"/>
        </w:rPr>
        <w:t xml:space="preserve"> </w:t>
      </w:r>
      <w:r w:rsidRPr="000E08FB">
        <w:rPr>
          <w:rFonts w:ascii="Tahoma" w:hAnsi="Tahoma" w:cs="Tahoma"/>
          <w:sz w:val="20"/>
          <w:szCs w:val="20"/>
        </w:rPr>
        <w:t>I partecipanti devono essere in possesso dei requisiti di ordine generale (art. 80 del D.Lgs</w:t>
      </w:r>
      <w:r w:rsidR="00DE65C2">
        <w:rPr>
          <w:rFonts w:ascii="Tahoma" w:hAnsi="Tahoma" w:cs="Tahoma"/>
          <w:sz w:val="20"/>
          <w:szCs w:val="20"/>
        </w:rPr>
        <w:t>.</w:t>
      </w:r>
      <w:r w:rsidRPr="000E08FB">
        <w:rPr>
          <w:rFonts w:ascii="Tahoma" w:hAnsi="Tahoma" w:cs="Tahoma"/>
          <w:sz w:val="20"/>
          <w:szCs w:val="20"/>
        </w:rPr>
        <w:t xml:space="preserve"> 50/2016), di idoneità professionale (art. 83 comma 1 lett. a del D.Lgs</w:t>
      </w:r>
      <w:r w:rsidR="00DE65C2">
        <w:rPr>
          <w:rFonts w:ascii="Tahoma" w:hAnsi="Tahoma" w:cs="Tahoma"/>
          <w:sz w:val="20"/>
          <w:szCs w:val="20"/>
        </w:rPr>
        <w:t>.</w:t>
      </w:r>
      <w:r w:rsidRPr="000E08FB">
        <w:rPr>
          <w:rFonts w:ascii="Tahoma" w:hAnsi="Tahoma" w:cs="Tahoma"/>
          <w:sz w:val="20"/>
          <w:szCs w:val="20"/>
        </w:rPr>
        <w:t xml:space="preserve"> 50/2016) e di capacità economico finanziaria (art. 83 comma 1 lett. b del D.Lgs</w:t>
      </w:r>
      <w:r w:rsidR="00DE65C2">
        <w:rPr>
          <w:rFonts w:ascii="Tahoma" w:hAnsi="Tahoma" w:cs="Tahoma"/>
          <w:sz w:val="20"/>
          <w:szCs w:val="20"/>
        </w:rPr>
        <w:t>.</w:t>
      </w:r>
      <w:r w:rsidRPr="000E08FB">
        <w:rPr>
          <w:rFonts w:ascii="Tahoma" w:hAnsi="Tahoma" w:cs="Tahoma"/>
          <w:sz w:val="20"/>
          <w:szCs w:val="20"/>
        </w:rPr>
        <w:t xml:space="preserve"> 50/2016) e tecnico - professionali (art. 83 comma 1 lett. c del D.Lgs</w:t>
      </w:r>
      <w:r w:rsidR="00DE65C2">
        <w:rPr>
          <w:rFonts w:ascii="Tahoma" w:hAnsi="Tahoma" w:cs="Tahoma"/>
          <w:sz w:val="20"/>
          <w:szCs w:val="20"/>
        </w:rPr>
        <w:t>.</w:t>
      </w:r>
      <w:r w:rsidRPr="000E08FB">
        <w:rPr>
          <w:rFonts w:ascii="Tahoma" w:hAnsi="Tahoma" w:cs="Tahoma"/>
          <w:sz w:val="20"/>
          <w:szCs w:val="20"/>
        </w:rPr>
        <w:t xml:space="preserve"> 50/2016) che di seguito si riportano.</w:t>
      </w:r>
    </w:p>
    <w:p w:rsidR="00560F50" w:rsidRPr="000E08FB" w:rsidRDefault="00560F50" w:rsidP="002436E8">
      <w:pPr>
        <w:ind w:right="260"/>
        <w:jc w:val="both"/>
        <w:rPr>
          <w:rFonts w:ascii="Tahoma" w:hAnsi="Tahoma" w:cs="Tahoma"/>
          <w:b/>
          <w:sz w:val="20"/>
          <w:szCs w:val="20"/>
        </w:rPr>
      </w:pPr>
      <w:r w:rsidRPr="000E08FB">
        <w:rPr>
          <w:rFonts w:ascii="Tahoma" w:hAnsi="Tahoma" w:cs="Tahoma"/>
          <w:b/>
          <w:sz w:val="20"/>
          <w:szCs w:val="20"/>
        </w:rPr>
        <w:t xml:space="preserve">III.1.1) Abilitazione all’esercizio dell’attività professionale, inclusi i requisiti relativi all’iscrizione nell’albo professionale o nel registro commerciale: </w:t>
      </w:r>
    </w:p>
    <w:p w:rsidR="00C85534" w:rsidRPr="000E08FB" w:rsidRDefault="00560F50" w:rsidP="002436E8">
      <w:pPr>
        <w:ind w:right="260"/>
        <w:jc w:val="both"/>
        <w:rPr>
          <w:rFonts w:ascii="Tahoma" w:hAnsi="Tahoma" w:cs="Tahoma"/>
          <w:sz w:val="20"/>
          <w:szCs w:val="20"/>
        </w:rPr>
      </w:pPr>
      <w:r w:rsidRPr="000E08FB">
        <w:rPr>
          <w:rFonts w:ascii="Tahoma" w:hAnsi="Tahoma" w:cs="Tahoma"/>
          <w:sz w:val="20"/>
          <w:szCs w:val="20"/>
        </w:rPr>
        <w:t>I concorrenti ai fini della par</w:t>
      </w:r>
      <w:r w:rsidR="00EE70D7" w:rsidRPr="000E08FB">
        <w:rPr>
          <w:rFonts w:ascii="Tahoma" w:hAnsi="Tahoma" w:cs="Tahoma"/>
          <w:sz w:val="20"/>
          <w:szCs w:val="20"/>
        </w:rPr>
        <w:t>tecipazione alla gara dovranno possedere</w:t>
      </w:r>
      <w:r w:rsidRPr="000E08FB">
        <w:rPr>
          <w:rFonts w:ascii="Tahoma" w:hAnsi="Tahoma" w:cs="Tahoma"/>
          <w:sz w:val="20"/>
          <w:szCs w:val="20"/>
        </w:rPr>
        <w:t xml:space="preserve">: </w:t>
      </w:r>
      <w:r w:rsidR="00C54B33" w:rsidRPr="00C54B33">
        <w:rPr>
          <w:rFonts w:ascii="Tahoma" w:hAnsi="Tahoma" w:cs="Tahoma"/>
          <w:sz w:val="20"/>
          <w:szCs w:val="20"/>
        </w:rPr>
        <w:t>iscrizione nel registro delle imprese presso la C.C.I.A.A. o nell’albo delle imprese artigiane nella fascia di classificazione non inferiore a quella di cui alla lettera “e)” o superiore dell’art. 3 del D.M. 7 luglio 1997, n. 274. Il concorrente non stabilito in Italia ma in altro Stato Membro o in uno dei Paesi di cui all’art. 83, comma 3, del Codice, presenta dichiarazione giurata o secondo le modalità vigenti nello Stato nel quale è stabilito.</w:t>
      </w:r>
    </w:p>
    <w:p w:rsidR="00FD5285" w:rsidRPr="000E08FB" w:rsidRDefault="00FD5285" w:rsidP="002436E8">
      <w:pPr>
        <w:pStyle w:val="Titolo3"/>
        <w:ind w:right="260"/>
        <w:rPr>
          <w:rFonts w:ascii="Tahoma" w:eastAsia="Times New Roman" w:hAnsi="Tahoma" w:cs="Tahoma"/>
          <w:bCs w:val="0"/>
          <w:color w:val="auto"/>
          <w:sz w:val="20"/>
          <w:szCs w:val="20"/>
        </w:rPr>
      </w:pPr>
      <w:bookmarkStart w:id="1" w:name="_Toc501540130"/>
      <w:r w:rsidRPr="000E08FB">
        <w:rPr>
          <w:rFonts w:ascii="Tahoma" w:eastAsia="Times New Roman" w:hAnsi="Tahoma" w:cs="Tahoma"/>
          <w:bCs w:val="0"/>
          <w:color w:val="auto"/>
          <w:sz w:val="20"/>
          <w:szCs w:val="20"/>
        </w:rPr>
        <w:t>Indicazioni per i raggruppamenti temporanei, consorzi ordinari, aggregazioni di imprese di rete, GEIE</w:t>
      </w:r>
      <w:bookmarkEnd w:id="1"/>
      <w:r w:rsidRPr="000E08FB">
        <w:rPr>
          <w:rFonts w:ascii="Tahoma" w:eastAsia="Times New Roman" w:hAnsi="Tahoma" w:cs="Tahoma"/>
          <w:bCs w:val="0"/>
          <w:color w:val="auto"/>
          <w:sz w:val="20"/>
          <w:szCs w:val="20"/>
        </w:rPr>
        <w:t>:</w:t>
      </w:r>
    </w:p>
    <w:p w:rsidR="00FD5285" w:rsidRPr="000E08FB" w:rsidRDefault="00FD5285" w:rsidP="00C77D09">
      <w:pPr>
        <w:ind w:right="260"/>
        <w:jc w:val="both"/>
        <w:rPr>
          <w:rFonts w:ascii="Tahoma" w:hAnsi="Tahoma" w:cs="Tahoma"/>
          <w:sz w:val="20"/>
          <w:szCs w:val="20"/>
        </w:rPr>
      </w:pPr>
      <w:r w:rsidRPr="000E08FB">
        <w:rPr>
          <w:rFonts w:ascii="Tahoma" w:hAnsi="Tahoma" w:cs="Tahoma"/>
          <w:sz w:val="20"/>
          <w:szCs w:val="20"/>
        </w:rPr>
        <w:t xml:space="preserve">Il requisito relativo all’iscrizione al Registro delle Imprese o Albo provinciale delle Imprese artigiane ai sensi della </w:t>
      </w:r>
      <w:r w:rsidR="00DE65C2">
        <w:rPr>
          <w:rFonts w:ascii="Tahoma" w:hAnsi="Tahoma" w:cs="Tahoma"/>
          <w:sz w:val="20"/>
          <w:szCs w:val="20"/>
        </w:rPr>
        <w:t>L.</w:t>
      </w:r>
      <w:r w:rsidRPr="000E08FB">
        <w:rPr>
          <w:rFonts w:ascii="Tahoma" w:hAnsi="Tahoma" w:cs="Tahoma"/>
          <w:sz w:val="20"/>
          <w:szCs w:val="20"/>
        </w:rPr>
        <w:t xml:space="preserve"> 25 gennaio 1994, n. 82 e del </w:t>
      </w:r>
      <w:r w:rsidR="00DE65C2" w:rsidRPr="000E08FB">
        <w:rPr>
          <w:rFonts w:ascii="Tahoma" w:hAnsi="Tahoma" w:cs="Tahoma"/>
          <w:sz w:val="20"/>
          <w:szCs w:val="20"/>
        </w:rPr>
        <w:t>D.M</w:t>
      </w:r>
      <w:r w:rsidRPr="000E08FB">
        <w:rPr>
          <w:rFonts w:ascii="Tahoma" w:hAnsi="Tahoma" w:cs="Tahoma"/>
          <w:sz w:val="20"/>
          <w:szCs w:val="20"/>
        </w:rPr>
        <w:t>. 7 luglio 1997, n. 274 di cui</w:t>
      </w:r>
      <w:r w:rsidR="00C77D09" w:rsidRPr="000E08FB">
        <w:rPr>
          <w:rFonts w:ascii="Tahoma" w:hAnsi="Tahoma" w:cs="Tahoma"/>
          <w:sz w:val="20"/>
          <w:szCs w:val="20"/>
        </w:rPr>
        <w:t xml:space="preserve"> all’art. 3 del citato decreto </w:t>
      </w:r>
      <w:r w:rsidRPr="000E08FB">
        <w:rPr>
          <w:rFonts w:ascii="Tahoma" w:hAnsi="Tahoma" w:cs="Tahoma"/>
          <w:sz w:val="20"/>
          <w:szCs w:val="20"/>
        </w:rPr>
        <w:t>deve essere posseduto da:</w:t>
      </w:r>
    </w:p>
    <w:p w:rsidR="00FD5285" w:rsidRPr="000E08FB" w:rsidRDefault="00FD5285" w:rsidP="00C77D09">
      <w:pPr>
        <w:pStyle w:val="Paragrafoelenco"/>
        <w:numPr>
          <w:ilvl w:val="0"/>
          <w:numId w:val="24"/>
        </w:numPr>
        <w:ind w:left="567" w:right="260" w:hanging="284"/>
        <w:contextualSpacing w:val="0"/>
        <w:jc w:val="both"/>
        <w:rPr>
          <w:rFonts w:ascii="Tahoma" w:hAnsi="Tahoma" w:cs="Tahoma"/>
          <w:sz w:val="20"/>
          <w:szCs w:val="20"/>
        </w:rPr>
      </w:pPr>
      <w:r w:rsidRPr="000E08FB">
        <w:rPr>
          <w:rFonts w:ascii="Tahoma" w:hAnsi="Tahoma" w:cs="Tahoma"/>
          <w:sz w:val="20"/>
          <w:szCs w:val="20"/>
        </w:rPr>
        <w:t>da ciascuna delle imprese raggruppate/raggruppande o consorziate/consorziande o GEIE;</w:t>
      </w:r>
    </w:p>
    <w:p w:rsidR="00FD5285" w:rsidRPr="000E08FB" w:rsidRDefault="00FD5285" w:rsidP="00C77D09">
      <w:pPr>
        <w:pStyle w:val="Paragrafoelenco"/>
        <w:numPr>
          <w:ilvl w:val="0"/>
          <w:numId w:val="24"/>
        </w:numPr>
        <w:ind w:left="567" w:right="260" w:hanging="284"/>
        <w:contextualSpacing w:val="0"/>
        <w:jc w:val="both"/>
        <w:rPr>
          <w:rFonts w:ascii="Tahoma" w:hAnsi="Tahoma" w:cs="Tahoma"/>
          <w:sz w:val="20"/>
          <w:szCs w:val="20"/>
        </w:rPr>
      </w:pPr>
      <w:r w:rsidRPr="000E08FB">
        <w:rPr>
          <w:rFonts w:ascii="Tahoma" w:hAnsi="Tahoma" w:cs="Tahoma"/>
          <w:sz w:val="20"/>
          <w:szCs w:val="20"/>
        </w:rPr>
        <w:t>da ciascuna delle imprese aderenti al contratto di rete indicate come esecutrici e, dalla rete medesima, nel caso in cui questa abbia soggettività giuridica.</w:t>
      </w:r>
    </w:p>
    <w:p w:rsidR="00FD5285" w:rsidRPr="000E08FB" w:rsidRDefault="00FD5285" w:rsidP="00C77D09">
      <w:pPr>
        <w:ind w:right="260"/>
        <w:jc w:val="both"/>
        <w:rPr>
          <w:rFonts w:ascii="Tahoma" w:hAnsi="Tahoma" w:cs="Tahoma"/>
          <w:sz w:val="20"/>
          <w:szCs w:val="20"/>
        </w:rPr>
      </w:pPr>
      <w:r w:rsidRPr="000E08FB">
        <w:rPr>
          <w:rFonts w:ascii="Tahoma" w:hAnsi="Tahoma" w:cs="Tahoma"/>
          <w:sz w:val="20"/>
          <w:szCs w:val="20"/>
        </w:rPr>
        <w:t>Tutti i soggetti indicati alle lett. a) e b) devono essere in possesso di iscrizioni in fasce di classificazione tali che la somma dei singoli importi di classificazione risulti pari o superiore all’importo della fascia di classificazione richiesta. L’impresa capogruppo mandataria deve possedere detto requisito in misura maggioritaria.</w:t>
      </w:r>
    </w:p>
    <w:p w:rsidR="00FD5285" w:rsidRPr="000E08FB" w:rsidRDefault="00FD5285" w:rsidP="00C77D09">
      <w:pPr>
        <w:pStyle w:val="Titolo3"/>
        <w:spacing w:before="0"/>
        <w:ind w:left="426" w:right="260" w:hanging="426"/>
        <w:rPr>
          <w:rFonts w:ascii="Tahoma" w:eastAsia="Times New Roman" w:hAnsi="Tahoma" w:cs="Tahoma"/>
          <w:bCs w:val="0"/>
          <w:color w:val="auto"/>
          <w:sz w:val="20"/>
          <w:szCs w:val="20"/>
        </w:rPr>
      </w:pPr>
      <w:r w:rsidRPr="000E08FB">
        <w:rPr>
          <w:rFonts w:ascii="Tahoma" w:eastAsia="Times New Roman" w:hAnsi="Tahoma" w:cs="Tahoma"/>
          <w:bCs w:val="0"/>
          <w:color w:val="auto"/>
          <w:sz w:val="20"/>
          <w:szCs w:val="20"/>
        </w:rPr>
        <w:t>Indicazioni per i consorzi di cooperative e di imprese artigiane e i consorzi stabili:</w:t>
      </w:r>
    </w:p>
    <w:p w:rsidR="00FD5285" w:rsidRPr="000E08FB" w:rsidRDefault="00FD5285" w:rsidP="00EE70D7">
      <w:pPr>
        <w:spacing w:line="276" w:lineRule="auto"/>
        <w:ind w:right="260"/>
        <w:jc w:val="both"/>
        <w:rPr>
          <w:rFonts w:ascii="Tahoma" w:hAnsi="Tahoma" w:cs="Tahoma"/>
          <w:sz w:val="20"/>
          <w:szCs w:val="20"/>
        </w:rPr>
      </w:pPr>
      <w:r w:rsidRPr="000E08FB">
        <w:rPr>
          <w:rFonts w:ascii="Tahoma" w:hAnsi="Tahoma" w:cs="Tahoma"/>
          <w:sz w:val="20"/>
          <w:szCs w:val="20"/>
        </w:rPr>
        <w:t xml:space="preserve">Il requisito relativo all’iscrizione nel  Registro delle Imprese o Albo provinciale delle Imprese artigiane ai sensi della </w:t>
      </w:r>
      <w:r w:rsidR="00DE65C2" w:rsidRPr="000E08FB">
        <w:rPr>
          <w:rFonts w:ascii="Tahoma" w:hAnsi="Tahoma" w:cs="Tahoma"/>
          <w:sz w:val="20"/>
          <w:szCs w:val="20"/>
        </w:rPr>
        <w:t>L.</w:t>
      </w:r>
      <w:r w:rsidRPr="000E08FB">
        <w:rPr>
          <w:rFonts w:ascii="Tahoma" w:hAnsi="Tahoma" w:cs="Tahoma"/>
          <w:sz w:val="20"/>
          <w:szCs w:val="20"/>
        </w:rPr>
        <w:t xml:space="preserve"> 25 gennaio 1994, n. 82 e del </w:t>
      </w:r>
      <w:r w:rsidR="00DE65C2" w:rsidRPr="000E08FB">
        <w:rPr>
          <w:rFonts w:ascii="Tahoma" w:hAnsi="Tahoma" w:cs="Tahoma"/>
          <w:sz w:val="20"/>
          <w:szCs w:val="20"/>
        </w:rPr>
        <w:t xml:space="preserve">D.M. </w:t>
      </w:r>
      <w:r w:rsidRPr="000E08FB">
        <w:rPr>
          <w:rFonts w:ascii="Tahoma" w:hAnsi="Tahoma" w:cs="Tahoma"/>
          <w:sz w:val="20"/>
          <w:szCs w:val="20"/>
        </w:rPr>
        <w:t xml:space="preserve">7 luglio 1997, n. 274 di cui all’art. 3 del citato decreto deve essere posseduto dal consorzio o da tutte le consorziate esecutrici del servizio di pulizia. </w:t>
      </w:r>
    </w:p>
    <w:p w:rsidR="00560F50" w:rsidRPr="000E08FB" w:rsidRDefault="00560F50" w:rsidP="00EE70D7">
      <w:pPr>
        <w:ind w:right="260"/>
        <w:jc w:val="both"/>
        <w:rPr>
          <w:rFonts w:ascii="Tahoma" w:hAnsi="Tahoma" w:cs="Tahoma"/>
          <w:b/>
          <w:sz w:val="20"/>
          <w:szCs w:val="20"/>
        </w:rPr>
      </w:pPr>
      <w:r w:rsidRPr="000E08FB">
        <w:rPr>
          <w:rFonts w:ascii="Tahoma" w:hAnsi="Tahoma" w:cs="Tahoma"/>
          <w:b/>
          <w:sz w:val="20"/>
          <w:szCs w:val="20"/>
        </w:rPr>
        <w:t>III.1.2) Capacità economico - finanziaria</w:t>
      </w:r>
    </w:p>
    <w:p w:rsidR="00560F50" w:rsidRPr="000E08FB" w:rsidRDefault="00EE70D7" w:rsidP="00EE70D7">
      <w:pPr>
        <w:ind w:right="260"/>
        <w:jc w:val="both"/>
        <w:rPr>
          <w:rFonts w:ascii="Tahoma" w:hAnsi="Tahoma" w:cs="Tahoma"/>
          <w:sz w:val="20"/>
          <w:szCs w:val="20"/>
        </w:rPr>
      </w:pPr>
      <w:r w:rsidRPr="000E08FB">
        <w:rPr>
          <w:rFonts w:ascii="Tahoma" w:hAnsi="Tahoma" w:cs="Tahoma"/>
          <w:sz w:val="20"/>
          <w:szCs w:val="20"/>
        </w:rPr>
        <w:t xml:space="preserve">I concorrenti ai fini della partecipazione alla gara dovranno possedere i seguenti </w:t>
      </w:r>
      <w:r w:rsidR="00560F50" w:rsidRPr="000E08FB">
        <w:rPr>
          <w:rFonts w:ascii="Tahoma" w:hAnsi="Tahoma" w:cs="Tahoma"/>
          <w:sz w:val="20"/>
          <w:szCs w:val="20"/>
        </w:rPr>
        <w:t>requisiti di capacità economico - finanziaria:</w:t>
      </w:r>
    </w:p>
    <w:p w:rsidR="00560F50" w:rsidRPr="000E08FB" w:rsidRDefault="00C85534" w:rsidP="00EE70D7">
      <w:pPr>
        <w:pStyle w:val="Paragrafoelenco"/>
        <w:numPr>
          <w:ilvl w:val="0"/>
          <w:numId w:val="26"/>
        </w:numPr>
        <w:spacing w:line="276" w:lineRule="auto"/>
        <w:ind w:right="260"/>
        <w:jc w:val="both"/>
        <w:rPr>
          <w:rFonts w:ascii="Tahoma" w:hAnsi="Tahoma" w:cs="Tahoma"/>
          <w:sz w:val="20"/>
          <w:szCs w:val="20"/>
        </w:rPr>
      </w:pPr>
      <w:r w:rsidRPr="000E08FB">
        <w:rPr>
          <w:rFonts w:ascii="Tahoma" w:hAnsi="Tahoma" w:cs="Tahoma"/>
          <w:sz w:val="20"/>
          <w:szCs w:val="20"/>
        </w:rPr>
        <w:t xml:space="preserve">Attesa la particolarità, complessità, entità economica e criticità dei servizi in questione, che devono garantire, senza soluzioni di continuità e/o problemi di alcun tipo, il corretto funzionamento degli uffici ed i compiti istituzionali della CNPADC l'operatore economico deve aver realizzato </w:t>
      </w:r>
      <w:r w:rsidR="002C1101" w:rsidRPr="000E08FB">
        <w:rPr>
          <w:rFonts w:ascii="Tahoma" w:hAnsi="Tahoma" w:cs="Tahoma"/>
          <w:sz w:val="20"/>
          <w:szCs w:val="20"/>
        </w:rPr>
        <w:t xml:space="preserve">in ciascuno degli ultimi tre esercizi </w:t>
      </w:r>
      <w:r w:rsidR="002C1101" w:rsidRPr="000E08FB">
        <w:rPr>
          <w:rFonts w:ascii="Tahoma" w:hAnsi="Tahoma" w:cs="Tahoma"/>
          <w:sz w:val="20"/>
          <w:szCs w:val="20"/>
        </w:rPr>
        <w:lastRenderedPageBreak/>
        <w:t xml:space="preserve">finanziari </w:t>
      </w:r>
      <w:r w:rsidRPr="000E08FB">
        <w:rPr>
          <w:rFonts w:ascii="Tahoma" w:hAnsi="Tahoma" w:cs="Tahoma"/>
          <w:sz w:val="20"/>
          <w:szCs w:val="20"/>
        </w:rPr>
        <w:t xml:space="preserve">(2014/2015/2016) un fatturato </w:t>
      </w:r>
      <w:r w:rsidR="002C1101" w:rsidRPr="000E08FB">
        <w:rPr>
          <w:rFonts w:ascii="Tahoma" w:hAnsi="Tahoma" w:cs="Tahoma"/>
          <w:sz w:val="20"/>
          <w:szCs w:val="20"/>
        </w:rPr>
        <w:t>globale annuo non inferiore ad €</w:t>
      </w:r>
      <w:r w:rsidR="00EE70D7" w:rsidRPr="000E08FB">
        <w:rPr>
          <w:rFonts w:ascii="Tahoma" w:hAnsi="Tahoma" w:cs="Tahoma"/>
          <w:sz w:val="20"/>
          <w:szCs w:val="20"/>
        </w:rPr>
        <w:t xml:space="preserve"> 4</w:t>
      </w:r>
      <w:r w:rsidR="00C54B33">
        <w:rPr>
          <w:rFonts w:ascii="Tahoma" w:hAnsi="Tahoma" w:cs="Tahoma"/>
          <w:sz w:val="20"/>
          <w:szCs w:val="20"/>
        </w:rPr>
        <w:t>5</w:t>
      </w:r>
      <w:r w:rsidR="00EE70D7" w:rsidRPr="000E08FB">
        <w:rPr>
          <w:rFonts w:ascii="Tahoma" w:hAnsi="Tahoma" w:cs="Tahoma"/>
          <w:sz w:val="20"/>
          <w:szCs w:val="20"/>
        </w:rPr>
        <w:t>0.000,00</w:t>
      </w:r>
      <w:r w:rsidR="002C1101" w:rsidRPr="000E08FB">
        <w:rPr>
          <w:rFonts w:ascii="Tahoma" w:hAnsi="Tahoma" w:cs="Tahoma"/>
          <w:sz w:val="20"/>
          <w:szCs w:val="20"/>
        </w:rPr>
        <w:t xml:space="preserve"> </w:t>
      </w:r>
      <w:r w:rsidR="007959F8" w:rsidRPr="000E08FB">
        <w:rPr>
          <w:rFonts w:ascii="Tahoma" w:hAnsi="Tahoma" w:cs="Tahoma"/>
          <w:sz w:val="20"/>
          <w:szCs w:val="20"/>
        </w:rPr>
        <w:t>di cui € 2</w:t>
      </w:r>
      <w:r w:rsidR="00C54B33">
        <w:rPr>
          <w:rFonts w:ascii="Tahoma" w:hAnsi="Tahoma" w:cs="Tahoma"/>
          <w:sz w:val="20"/>
          <w:szCs w:val="20"/>
        </w:rPr>
        <w:t>25</w:t>
      </w:r>
      <w:r w:rsidR="00EE70D7" w:rsidRPr="000E08FB">
        <w:rPr>
          <w:rFonts w:ascii="Tahoma" w:hAnsi="Tahoma" w:cs="Tahoma"/>
          <w:sz w:val="20"/>
          <w:szCs w:val="20"/>
        </w:rPr>
        <w:t>.000,00</w:t>
      </w:r>
      <w:r w:rsidR="007959F8" w:rsidRPr="000E08FB">
        <w:rPr>
          <w:rFonts w:ascii="Tahoma" w:hAnsi="Tahoma" w:cs="Tahoma"/>
          <w:sz w:val="20"/>
          <w:szCs w:val="20"/>
        </w:rPr>
        <w:t xml:space="preserve"> </w:t>
      </w:r>
      <w:r w:rsidRPr="000E08FB">
        <w:rPr>
          <w:rFonts w:ascii="Tahoma" w:hAnsi="Tahoma" w:cs="Tahoma"/>
          <w:sz w:val="20"/>
          <w:szCs w:val="20"/>
        </w:rPr>
        <w:t>nel settore di attività oggetto dell'appalto</w:t>
      </w:r>
      <w:r w:rsidR="00EE70D7" w:rsidRPr="000E08FB">
        <w:rPr>
          <w:rFonts w:ascii="Tahoma" w:hAnsi="Tahoma" w:cs="Tahoma"/>
          <w:sz w:val="20"/>
          <w:szCs w:val="20"/>
        </w:rPr>
        <w:t>.</w:t>
      </w:r>
      <w:r w:rsidRPr="000E08FB">
        <w:rPr>
          <w:rFonts w:ascii="Tahoma" w:hAnsi="Tahoma" w:cs="Tahoma"/>
          <w:sz w:val="20"/>
          <w:szCs w:val="20"/>
        </w:rPr>
        <w:t xml:space="preserve"> </w:t>
      </w:r>
    </w:p>
    <w:p w:rsidR="00EE70D7" w:rsidRPr="00291104" w:rsidRDefault="00560F50" w:rsidP="00EE70D7">
      <w:pPr>
        <w:ind w:right="260"/>
        <w:jc w:val="both"/>
        <w:rPr>
          <w:rFonts w:ascii="Tahoma" w:hAnsi="Tahoma" w:cs="Tahoma"/>
          <w:b/>
          <w:sz w:val="20"/>
          <w:szCs w:val="20"/>
        </w:rPr>
      </w:pPr>
      <w:r w:rsidRPr="00291104">
        <w:rPr>
          <w:rFonts w:ascii="Tahoma" w:hAnsi="Tahoma" w:cs="Tahoma"/>
          <w:b/>
          <w:sz w:val="20"/>
          <w:szCs w:val="20"/>
        </w:rPr>
        <w:t xml:space="preserve">In caso di RTI, Consorzio ordinario, aggregazione di imprese di rete o di GEIE i requisiti relativi al fatturato devono essere posseduti dal raggruppamento nel suo complesso. </w:t>
      </w:r>
      <w:r w:rsidR="005B26D1" w:rsidRPr="00291104">
        <w:rPr>
          <w:rFonts w:ascii="Tahoma" w:hAnsi="Tahoma" w:cs="Tahoma"/>
          <w:b/>
          <w:sz w:val="20"/>
          <w:szCs w:val="20"/>
        </w:rPr>
        <w:t>La mandataria in ogni caso deve possedere i requisiti ed eseguire le prestazioni in misura minima del 40%, e la restante parte dalle mandanti nella misura minima del 10%.</w:t>
      </w:r>
      <w:r w:rsidR="00B63189" w:rsidRPr="00291104">
        <w:rPr>
          <w:rFonts w:ascii="Tahoma" w:hAnsi="Tahoma" w:cs="Tahoma"/>
          <w:b/>
          <w:sz w:val="20"/>
          <w:szCs w:val="20"/>
        </w:rPr>
        <w:t xml:space="preserve"> </w:t>
      </w:r>
    </w:p>
    <w:p w:rsidR="00C85534" w:rsidRPr="00291104" w:rsidRDefault="00C85534" w:rsidP="00EE70D7">
      <w:pPr>
        <w:ind w:right="260"/>
        <w:jc w:val="both"/>
        <w:rPr>
          <w:rFonts w:ascii="Tahoma" w:hAnsi="Tahoma" w:cs="Tahoma"/>
          <w:b/>
          <w:sz w:val="20"/>
          <w:szCs w:val="20"/>
        </w:rPr>
      </w:pPr>
      <w:r w:rsidRPr="00291104">
        <w:rPr>
          <w:rFonts w:ascii="Tahoma" w:hAnsi="Tahoma" w:cs="Tahoma"/>
          <w:b/>
          <w:sz w:val="20"/>
          <w:szCs w:val="20"/>
        </w:rPr>
        <w:t>Ove le informazioni sui fatturati non siano disponibili, per le imprese che abbiano iniziato l’attività da meno di tre anni, i requisiti di fatturato devono essere rapportati al periodo di attività. S</w:t>
      </w:r>
      <w:r w:rsidR="00750C56" w:rsidRPr="00291104">
        <w:rPr>
          <w:rFonts w:ascii="Tahoma" w:hAnsi="Tahoma" w:cs="Tahoma"/>
          <w:b/>
          <w:sz w:val="20"/>
          <w:szCs w:val="20"/>
        </w:rPr>
        <w:t xml:space="preserve">i </w:t>
      </w:r>
      <w:r w:rsidRPr="00291104">
        <w:rPr>
          <w:rFonts w:ascii="Tahoma" w:hAnsi="Tahoma" w:cs="Tahoma"/>
          <w:b/>
          <w:sz w:val="20"/>
          <w:szCs w:val="20"/>
        </w:rPr>
        <w:t xml:space="preserve">applica in ogni caso l'art. 86 comma 4 del </w:t>
      </w:r>
      <w:r w:rsidR="004A073A" w:rsidRPr="00291104">
        <w:rPr>
          <w:rFonts w:ascii="Tahoma" w:hAnsi="Tahoma" w:cs="Tahoma"/>
          <w:b/>
          <w:sz w:val="20"/>
          <w:szCs w:val="20"/>
        </w:rPr>
        <w:t>C</w:t>
      </w:r>
      <w:r w:rsidRPr="00291104">
        <w:rPr>
          <w:rFonts w:ascii="Tahoma" w:hAnsi="Tahoma" w:cs="Tahoma"/>
          <w:b/>
          <w:sz w:val="20"/>
          <w:szCs w:val="20"/>
        </w:rPr>
        <w:t>odice.</w:t>
      </w:r>
    </w:p>
    <w:p w:rsidR="00560F50" w:rsidRPr="000E08FB" w:rsidRDefault="00560F50" w:rsidP="00EE70D7">
      <w:pPr>
        <w:ind w:right="260"/>
        <w:jc w:val="both"/>
        <w:rPr>
          <w:rFonts w:ascii="Tahoma" w:hAnsi="Tahoma" w:cs="Tahoma"/>
          <w:b/>
          <w:sz w:val="20"/>
          <w:szCs w:val="20"/>
        </w:rPr>
      </w:pPr>
      <w:r w:rsidRPr="000E08FB">
        <w:rPr>
          <w:rFonts w:ascii="Tahoma" w:hAnsi="Tahoma" w:cs="Tahoma"/>
          <w:b/>
          <w:sz w:val="20"/>
          <w:szCs w:val="20"/>
        </w:rPr>
        <w:t>III.1.3) Capacità professionale e tecnica</w:t>
      </w:r>
    </w:p>
    <w:p w:rsidR="00560F50" w:rsidRPr="000E08FB" w:rsidRDefault="00EE70D7" w:rsidP="00EE70D7">
      <w:pPr>
        <w:ind w:right="260"/>
        <w:jc w:val="both"/>
        <w:rPr>
          <w:rFonts w:ascii="Tahoma" w:hAnsi="Tahoma" w:cs="Tahoma"/>
          <w:sz w:val="20"/>
          <w:szCs w:val="20"/>
          <w:u w:val="single"/>
        </w:rPr>
      </w:pPr>
      <w:r w:rsidRPr="000E08FB">
        <w:rPr>
          <w:rFonts w:ascii="Tahoma" w:hAnsi="Tahoma" w:cs="Tahoma"/>
          <w:sz w:val="20"/>
          <w:szCs w:val="20"/>
        </w:rPr>
        <w:t xml:space="preserve">I concorrenti ai fini della partecipazione alla gara dovranno possedere i seguenti requisiti </w:t>
      </w:r>
      <w:r w:rsidR="00560F50" w:rsidRPr="000E08FB">
        <w:rPr>
          <w:rFonts w:ascii="Tahoma" w:hAnsi="Tahoma" w:cs="Tahoma"/>
          <w:sz w:val="20"/>
          <w:szCs w:val="20"/>
          <w:u w:val="single"/>
        </w:rPr>
        <w:t>capacità tecnica e professionale:</w:t>
      </w:r>
    </w:p>
    <w:p w:rsidR="00EE70D7" w:rsidRPr="000E08FB" w:rsidRDefault="004857B8" w:rsidP="00EE70D7">
      <w:pPr>
        <w:pStyle w:val="Paragrafoelenco"/>
        <w:numPr>
          <w:ilvl w:val="0"/>
          <w:numId w:val="26"/>
        </w:numPr>
        <w:spacing w:line="276" w:lineRule="auto"/>
        <w:ind w:right="260"/>
        <w:jc w:val="both"/>
        <w:rPr>
          <w:rFonts w:ascii="Tahoma" w:hAnsi="Tahoma" w:cs="Tahoma"/>
          <w:sz w:val="20"/>
          <w:szCs w:val="20"/>
        </w:rPr>
      </w:pPr>
      <w:r w:rsidRPr="000E08FB">
        <w:rPr>
          <w:rFonts w:ascii="Tahoma" w:hAnsi="Tahoma" w:cs="Tahoma"/>
          <w:sz w:val="20"/>
          <w:szCs w:val="20"/>
        </w:rPr>
        <w:t>avere adeguata esperienza professionale da comprovarsi mediante l</w:t>
      </w:r>
      <w:r w:rsidR="00E51DC8" w:rsidRPr="000E08FB">
        <w:rPr>
          <w:rFonts w:ascii="Tahoma" w:hAnsi="Tahoma" w:cs="Tahoma"/>
          <w:sz w:val="20"/>
          <w:szCs w:val="20"/>
        </w:rPr>
        <w:t xml:space="preserve">'elenco dei principali servizi analoghi a quelli a base di gara </w:t>
      </w:r>
      <w:r w:rsidR="007959F8" w:rsidRPr="000E08FB">
        <w:rPr>
          <w:rFonts w:ascii="Tahoma" w:hAnsi="Tahoma" w:cs="Tahoma"/>
          <w:sz w:val="20"/>
          <w:szCs w:val="20"/>
        </w:rPr>
        <w:t>(</w:t>
      </w:r>
      <w:r w:rsidR="00E51DC8" w:rsidRPr="000E08FB">
        <w:rPr>
          <w:rFonts w:ascii="Tahoma" w:hAnsi="Tahoma" w:cs="Tahoma"/>
          <w:sz w:val="20"/>
          <w:szCs w:val="20"/>
        </w:rPr>
        <w:t>ovvero inerenti i servizi di pulizia</w:t>
      </w:r>
      <w:r w:rsidR="007959F8" w:rsidRPr="000E08FB">
        <w:rPr>
          <w:rFonts w:ascii="Tahoma" w:hAnsi="Tahoma" w:cs="Tahoma"/>
          <w:sz w:val="20"/>
          <w:szCs w:val="20"/>
        </w:rPr>
        <w:t xml:space="preserve">) </w:t>
      </w:r>
      <w:r w:rsidR="00E51DC8" w:rsidRPr="000E08FB">
        <w:rPr>
          <w:rFonts w:ascii="Tahoma" w:hAnsi="Tahoma" w:cs="Tahoma"/>
          <w:sz w:val="20"/>
          <w:szCs w:val="20"/>
        </w:rPr>
        <w:t>espletati nel</w:t>
      </w:r>
      <w:r w:rsidR="00A56BC3" w:rsidRPr="000E08FB">
        <w:rPr>
          <w:rFonts w:ascii="Tahoma" w:hAnsi="Tahoma" w:cs="Tahoma"/>
          <w:sz w:val="20"/>
          <w:szCs w:val="20"/>
        </w:rPr>
        <w:t xml:space="preserve"> </w:t>
      </w:r>
      <w:r w:rsidR="00E51DC8" w:rsidRPr="000E08FB">
        <w:rPr>
          <w:rFonts w:ascii="Tahoma" w:hAnsi="Tahoma" w:cs="Tahoma"/>
          <w:sz w:val="20"/>
          <w:szCs w:val="20"/>
        </w:rPr>
        <w:t>triennio</w:t>
      </w:r>
      <w:r w:rsidR="00A56BC3" w:rsidRPr="000E08FB">
        <w:rPr>
          <w:rFonts w:ascii="Tahoma" w:hAnsi="Tahoma" w:cs="Tahoma"/>
          <w:sz w:val="20"/>
          <w:szCs w:val="20"/>
        </w:rPr>
        <w:t xml:space="preserve"> immediatamente antecedente la pubblicazione del bando di gara</w:t>
      </w:r>
      <w:r w:rsidR="007959F8" w:rsidRPr="000E08FB">
        <w:rPr>
          <w:rFonts w:ascii="Tahoma" w:hAnsi="Tahoma" w:cs="Tahoma"/>
          <w:sz w:val="20"/>
          <w:szCs w:val="20"/>
        </w:rPr>
        <w:t>. A</w:t>
      </w:r>
      <w:r w:rsidR="00F71103" w:rsidRPr="000E08FB">
        <w:rPr>
          <w:rFonts w:ascii="Tahoma" w:hAnsi="Tahoma" w:cs="Tahoma"/>
          <w:sz w:val="20"/>
          <w:szCs w:val="20"/>
        </w:rPr>
        <w:t xml:space="preserve"> tal fine l'operatore economico deve indicare tipologia del servizio, importo e de</w:t>
      </w:r>
      <w:r w:rsidR="004F683E" w:rsidRPr="000E08FB">
        <w:rPr>
          <w:rFonts w:ascii="Tahoma" w:hAnsi="Tahoma" w:cs="Tahoma"/>
          <w:sz w:val="20"/>
          <w:szCs w:val="20"/>
        </w:rPr>
        <w:t>s</w:t>
      </w:r>
      <w:r w:rsidR="00F71103" w:rsidRPr="000E08FB">
        <w:rPr>
          <w:rFonts w:ascii="Tahoma" w:hAnsi="Tahoma" w:cs="Tahoma"/>
          <w:sz w:val="20"/>
          <w:szCs w:val="20"/>
        </w:rPr>
        <w:t>tinatario</w:t>
      </w:r>
      <w:r w:rsidR="00EE70D7" w:rsidRPr="000E08FB">
        <w:rPr>
          <w:rFonts w:ascii="Tahoma" w:hAnsi="Tahoma" w:cs="Tahoma"/>
          <w:sz w:val="20"/>
          <w:szCs w:val="20"/>
        </w:rPr>
        <w:t>;</w:t>
      </w:r>
    </w:p>
    <w:p w:rsidR="00EE70D7" w:rsidRPr="000E08FB" w:rsidRDefault="005759CD" w:rsidP="00EE70D7">
      <w:pPr>
        <w:pStyle w:val="Paragrafoelenco"/>
        <w:numPr>
          <w:ilvl w:val="0"/>
          <w:numId w:val="26"/>
        </w:numPr>
        <w:spacing w:line="276" w:lineRule="auto"/>
        <w:ind w:right="260"/>
        <w:jc w:val="both"/>
        <w:rPr>
          <w:rFonts w:ascii="Tahoma" w:hAnsi="Tahoma" w:cs="Tahoma"/>
          <w:sz w:val="20"/>
          <w:szCs w:val="20"/>
        </w:rPr>
      </w:pPr>
      <w:r w:rsidRPr="000E08FB">
        <w:rPr>
          <w:rFonts w:ascii="Tahoma" w:hAnsi="Tahoma" w:cs="Tahoma"/>
          <w:sz w:val="20"/>
          <w:szCs w:val="20"/>
        </w:rPr>
        <w:t>possesso di una valutazione di conformità del proprio sistema di gestione della qualità alla norma UNI EN ISO 9001:2015 (valido anche 9001:2008 fino a settembre 2018), idonea, pertinente e proporzionata ai servizi di pulizia</w:t>
      </w:r>
      <w:r w:rsidR="00EE70D7" w:rsidRPr="000E08FB">
        <w:rPr>
          <w:rFonts w:ascii="Tahoma" w:hAnsi="Tahoma" w:cs="Tahoma"/>
          <w:sz w:val="20"/>
          <w:szCs w:val="20"/>
        </w:rPr>
        <w:t>;</w:t>
      </w:r>
    </w:p>
    <w:p w:rsidR="007959F8" w:rsidRPr="000E08FB" w:rsidRDefault="007959F8" w:rsidP="00EE70D7">
      <w:pPr>
        <w:pStyle w:val="Paragrafoelenco"/>
        <w:numPr>
          <w:ilvl w:val="0"/>
          <w:numId w:val="26"/>
        </w:numPr>
        <w:spacing w:line="276" w:lineRule="auto"/>
        <w:ind w:right="260"/>
        <w:jc w:val="both"/>
        <w:rPr>
          <w:rFonts w:ascii="Tahoma" w:hAnsi="Tahoma" w:cs="Tahoma"/>
          <w:sz w:val="20"/>
          <w:szCs w:val="20"/>
        </w:rPr>
      </w:pPr>
      <w:r w:rsidRPr="000E08FB">
        <w:rPr>
          <w:rFonts w:ascii="Tahoma" w:hAnsi="Tahoma" w:cs="Tahoma"/>
          <w:sz w:val="20"/>
          <w:szCs w:val="20"/>
        </w:rPr>
        <w:t>possesso della certificazione ambientale ISO 14001:2015 (valida anche la 14001:2004 fino a settembre 2018) idonea, pertinente e proporzionata ai servizi di pulizia</w:t>
      </w:r>
      <w:r w:rsidR="00EE70D7" w:rsidRPr="000E08FB">
        <w:rPr>
          <w:rFonts w:ascii="Tahoma" w:hAnsi="Tahoma" w:cs="Tahoma"/>
          <w:sz w:val="20"/>
          <w:szCs w:val="20"/>
        </w:rPr>
        <w:t>.</w:t>
      </w:r>
    </w:p>
    <w:p w:rsidR="005D6381" w:rsidRPr="000E08FB" w:rsidRDefault="00E10915" w:rsidP="00EE70D7">
      <w:pPr>
        <w:ind w:right="260"/>
        <w:jc w:val="both"/>
        <w:rPr>
          <w:rFonts w:ascii="Tahoma" w:hAnsi="Tahoma" w:cs="Tahoma"/>
          <w:sz w:val="20"/>
          <w:szCs w:val="20"/>
        </w:rPr>
      </w:pPr>
      <w:r w:rsidRPr="000E08FB">
        <w:rPr>
          <w:rFonts w:ascii="Tahoma" w:hAnsi="Tahoma" w:cs="Tahoma"/>
          <w:b/>
          <w:sz w:val="20"/>
          <w:szCs w:val="20"/>
        </w:rPr>
        <w:t>In caso di RTI, Consorzio ordinario, aggregazione di imprese di rete o di GEIE</w:t>
      </w:r>
      <w:r w:rsidR="005D6381" w:rsidRPr="000E08FB">
        <w:rPr>
          <w:rFonts w:ascii="Tahoma" w:hAnsi="Tahoma" w:cs="Tahoma"/>
          <w:sz w:val="20"/>
          <w:szCs w:val="20"/>
        </w:rPr>
        <w:t xml:space="preserve"> </w:t>
      </w:r>
      <w:r w:rsidR="00C54B33" w:rsidRPr="000E08FB">
        <w:rPr>
          <w:rFonts w:ascii="Tahoma" w:hAnsi="Tahoma" w:cs="Tahoma"/>
          <w:sz w:val="20"/>
          <w:szCs w:val="20"/>
        </w:rPr>
        <w:t>il requisito di cui al punto 2)</w:t>
      </w:r>
      <w:r w:rsidR="00C54B33">
        <w:rPr>
          <w:rFonts w:ascii="Tahoma" w:hAnsi="Tahoma" w:cs="Tahoma"/>
          <w:sz w:val="20"/>
          <w:szCs w:val="20"/>
        </w:rPr>
        <w:t xml:space="preserve"> deve essere posseduto dal</w:t>
      </w:r>
      <w:r w:rsidR="005D6381" w:rsidRPr="000E08FB">
        <w:rPr>
          <w:rFonts w:ascii="Tahoma" w:hAnsi="Tahoma" w:cs="Tahoma"/>
          <w:sz w:val="20"/>
          <w:szCs w:val="20"/>
        </w:rPr>
        <w:t xml:space="preserve"> raggruppamento </w:t>
      </w:r>
      <w:r w:rsidR="00C54B33">
        <w:rPr>
          <w:rFonts w:ascii="Tahoma" w:hAnsi="Tahoma" w:cs="Tahoma"/>
          <w:sz w:val="20"/>
          <w:szCs w:val="20"/>
        </w:rPr>
        <w:t>nel suo complesso</w:t>
      </w:r>
      <w:r w:rsidR="007B2810" w:rsidRPr="000E08FB">
        <w:rPr>
          <w:rFonts w:ascii="Tahoma" w:hAnsi="Tahoma" w:cs="Tahoma"/>
          <w:sz w:val="20"/>
          <w:szCs w:val="20"/>
        </w:rPr>
        <w:t>;</w:t>
      </w:r>
      <w:r w:rsidR="00C54B33">
        <w:rPr>
          <w:rFonts w:ascii="Tahoma" w:hAnsi="Tahoma" w:cs="Tahoma"/>
          <w:sz w:val="20"/>
          <w:szCs w:val="20"/>
        </w:rPr>
        <w:t xml:space="preserve"> i</w:t>
      </w:r>
      <w:r w:rsidR="005D6381" w:rsidRPr="000E08FB">
        <w:rPr>
          <w:rFonts w:ascii="Tahoma" w:hAnsi="Tahoma" w:cs="Tahoma"/>
          <w:sz w:val="20"/>
          <w:szCs w:val="20"/>
        </w:rPr>
        <w:t xml:space="preserve"> requisit</w:t>
      </w:r>
      <w:r w:rsidR="00C54B33">
        <w:rPr>
          <w:rFonts w:ascii="Tahoma" w:hAnsi="Tahoma" w:cs="Tahoma"/>
          <w:sz w:val="20"/>
          <w:szCs w:val="20"/>
        </w:rPr>
        <w:t>i</w:t>
      </w:r>
      <w:r w:rsidR="005D6381" w:rsidRPr="000E08FB">
        <w:rPr>
          <w:rFonts w:ascii="Tahoma" w:hAnsi="Tahoma" w:cs="Tahoma"/>
          <w:sz w:val="20"/>
          <w:szCs w:val="20"/>
        </w:rPr>
        <w:t xml:space="preserve"> di cui al punto 3)</w:t>
      </w:r>
      <w:r w:rsidR="00C54B33">
        <w:rPr>
          <w:rFonts w:ascii="Tahoma" w:hAnsi="Tahoma" w:cs="Tahoma"/>
          <w:sz w:val="20"/>
          <w:szCs w:val="20"/>
        </w:rPr>
        <w:t xml:space="preserve"> e 4)</w:t>
      </w:r>
      <w:r w:rsidR="005D6381" w:rsidRPr="000E08FB">
        <w:rPr>
          <w:rFonts w:ascii="Tahoma" w:hAnsi="Tahoma" w:cs="Tahoma"/>
          <w:sz w:val="20"/>
          <w:szCs w:val="20"/>
        </w:rPr>
        <w:t xml:space="preserve"> dev</w:t>
      </w:r>
      <w:r w:rsidR="00C54B33">
        <w:rPr>
          <w:rFonts w:ascii="Tahoma" w:hAnsi="Tahoma" w:cs="Tahoma"/>
          <w:sz w:val="20"/>
          <w:szCs w:val="20"/>
        </w:rPr>
        <w:t>ono</w:t>
      </w:r>
      <w:r w:rsidR="005D6381" w:rsidRPr="000E08FB">
        <w:rPr>
          <w:rFonts w:ascii="Tahoma" w:hAnsi="Tahoma" w:cs="Tahoma"/>
          <w:sz w:val="20"/>
          <w:szCs w:val="20"/>
        </w:rPr>
        <w:t xml:space="preserve"> essere possedut</w:t>
      </w:r>
      <w:r w:rsidR="00C54B33">
        <w:rPr>
          <w:rFonts w:ascii="Tahoma" w:hAnsi="Tahoma" w:cs="Tahoma"/>
          <w:sz w:val="20"/>
          <w:szCs w:val="20"/>
        </w:rPr>
        <w:t>i</w:t>
      </w:r>
      <w:r w:rsidR="005D6381" w:rsidRPr="000E08FB">
        <w:rPr>
          <w:rFonts w:ascii="Tahoma" w:hAnsi="Tahoma" w:cs="Tahoma"/>
          <w:sz w:val="20"/>
          <w:szCs w:val="20"/>
        </w:rPr>
        <w:t xml:space="preserve"> da ciascun componente il raggruppamento</w:t>
      </w:r>
      <w:r w:rsidR="00C54B33">
        <w:rPr>
          <w:rFonts w:ascii="Tahoma" w:hAnsi="Tahoma" w:cs="Tahoma"/>
          <w:sz w:val="20"/>
          <w:szCs w:val="20"/>
        </w:rPr>
        <w:t>.</w:t>
      </w:r>
    </w:p>
    <w:p w:rsidR="00FD5285" w:rsidRPr="000E08FB" w:rsidRDefault="00FD5285" w:rsidP="00EE70D7">
      <w:pPr>
        <w:pStyle w:val="Titolo3"/>
        <w:tabs>
          <w:tab w:val="left" w:pos="10206"/>
        </w:tabs>
        <w:spacing w:before="0"/>
        <w:ind w:left="426" w:right="260" w:hanging="426"/>
        <w:jc w:val="both"/>
        <w:rPr>
          <w:rFonts w:ascii="Tahoma" w:eastAsia="Times New Roman" w:hAnsi="Tahoma" w:cs="Tahoma"/>
          <w:bCs w:val="0"/>
          <w:color w:val="auto"/>
          <w:sz w:val="20"/>
          <w:szCs w:val="20"/>
        </w:rPr>
      </w:pPr>
      <w:bookmarkStart w:id="2" w:name="_Ref496007650"/>
      <w:bookmarkStart w:id="3" w:name="_Ref496007652"/>
      <w:bookmarkStart w:id="4" w:name="_Toc501540131"/>
      <w:r w:rsidRPr="000E08FB">
        <w:rPr>
          <w:rFonts w:ascii="Tahoma" w:eastAsia="Times New Roman" w:hAnsi="Tahoma" w:cs="Tahoma"/>
          <w:bCs w:val="0"/>
          <w:color w:val="auto"/>
          <w:sz w:val="20"/>
          <w:szCs w:val="20"/>
        </w:rPr>
        <w:t>Indicazioni per i consorzi di cooperative e di imprese artigiane e i consorzi stabili</w:t>
      </w:r>
      <w:bookmarkEnd w:id="2"/>
      <w:bookmarkEnd w:id="3"/>
      <w:bookmarkEnd w:id="4"/>
    </w:p>
    <w:p w:rsidR="00FD5285" w:rsidRPr="000E08FB" w:rsidRDefault="00FD5285" w:rsidP="00EE70D7">
      <w:pPr>
        <w:ind w:right="260"/>
        <w:jc w:val="both"/>
        <w:rPr>
          <w:rFonts w:ascii="Tahoma" w:hAnsi="Tahoma" w:cs="Tahoma"/>
          <w:sz w:val="20"/>
          <w:szCs w:val="20"/>
        </w:rPr>
      </w:pPr>
      <w:r w:rsidRPr="000E08FB">
        <w:rPr>
          <w:rFonts w:ascii="Tahoma" w:hAnsi="Tahoma" w:cs="Tahoma"/>
          <w:sz w:val="20"/>
          <w:szCs w:val="20"/>
        </w:rPr>
        <w:t>I requisiti di capacità economica e finanziaria nonché tecnica e professio</w:t>
      </w:r>
      <w:r w:rsidR="00EE70D7" w:rsidRPr="000E08FB">
        <w:rPr>
          <w:rFonts w:ascii="Tahoma" w:hAnsi="Tahoma" w:cs="Tahoma"/>
          <w:sz w:val="20"/>
          <w:szCs w:val="20"/>
        </w:rPr>
        <w:t>nale, ai sensi dell’art. 47 del C</w:t>
      </w:r>
      <w:r w:rsidRPr="000E08FB">
        <w:rPr>
          <w:rFonts w:ascii="Tahoma" w:hAnsi="Tahoma" w:cs="Tahoma"/>
          <w:sz w:val="20"/>
          <w:szCs w:val="20"/>
        </w:rPr>
        <w:t>odice,</w:t>
      </w:r>
      <w:r w:rsidR="00EE70D7" w:rsidRPr="000E08FB">
        <w:rPr>
          <w:rFonts w:ascii="Tahoma" w:hAnsi="Tahoma" w:cs="Tahoma"/>
          <w:sz w:val="20"/>
          <w:szCs w:val="20"/>
        </w:rPr>
        <w:t xml:space="preserve"> </w:t>
      </w:r>
      <w:r w:rsidRPr="000E08FB">
        <w:rPr>
          <w:rFonts w:ascii="Tahoma" w:hAnsi="Tahoma" w:cs="Tahoma"/>
          <w:sz w:val="20"/>
          <w:szCs w:val="20"/>
        </w:rPr>
        <w:t>devono essere posseduti:</w:t>
      </w:r>
    </w:p>
    <w:p w:rsidR="00FD5285" w:rsidRPr="000E08FB" w:rsidRDefault="00FD5285" w:rsidP="00EE70D7">
      <w:pPr>
        <w:pStyle w:val="Paragrafoelenco"/>
        <w:numPr>
          <w:ilvl w:val="0"/>
          <w:numId w:val="23"/>
        </w:numPr>
        <w:spacing w:line="276" w:lineRule="auto"/>
        <w:ind w:left="284" w:right="260" w:hanging="284"/>
        <w:contextualSpacing w:val="0"/>
        <w:jc w:val="both"/>
        <w:rPr>
          <w:rFonts w:ascii="Tahoma" w:hAnsi="Tahoma" w:cs="Tahoma"/>
          <w:sz w:val="20"/>
          <w:szCs w:val="20"/>
        </w:rPr>
      </w:pPr>
      <w:r w:rsidRPr="000E08FB">
        <w:rPr>
          <w:rFonts w:ascii="Tahoma" w:hAnsi="Tahoma" w:cs="Tahoma"/>
          <w:sz w:val="20"/>
          <w:szCs w:val="20"/>
        </w:rPr>
        <w:t>per i consorzi di cui all’art. 45, comma 2 lett. b) del Codice, direttamente dal consorzio medesimo, salvo che quelli relativi alla disponibilità delle attrezzature e dei mezzi d’opera nonché all’organico medio annuo che sono computati in capo al consorzio ancorché posseduti dalle singole imprese consorziate;</w:t>
      </w:r>
    </w:p>
    <w:p w:rsidR="00FD5285" w:rsidRPr="000E08FB" w:rsidRDefault="00FD5285" w:rsidP="00C54B33">
      <w:pPr>
        <w:pStyle w:val="Paragrafoelenco"/>
        <w:numPr>
          <w:ilvl w:val="0"/>
          <w:numId w:val="23"/>
        </w:numPr>
        <w:spacing w:line="276" w:lineRule="auto"/>
        <w:ind w:left="284" w:right="260" w:hanging="284"/>
        <w:contextualSpacing w:val="0"/>
        <w:jc w:val="both"/>
        <w:rPr>
          <w:rFonts w:ascii="Tahoma" w:hAnsi="Tahoma" w:cs="Tahoma"/>
          <w:sz w:val="20"/>
          <w:szCs w:val="20"/>
        </w:rPr>
      </w:pPr>
      <w:r w:rsidRPr="000E08FB">
        <w:rPr>
          <w:rFonts w:ascii="Tahoma" w:hAnsi="Tahoma" w:cs="Tahoma"/>
          <w:sz w:val="20"/>
          <w:szCs w:val="20"/>
        </w:rPr>
        <w:t>per i consorzi di cui all’art. 45, comma 2, lett. c) del Codice,</w:t>
      </w:r>
      <w:r w:rsidR="00C54B33">
        <w:rPr>
          <w:rFonts w:ascii="Tahoma" w:hAnsi="Tahoma" w:cs="Tahoma"/>
          <w:sz w:val="20"/>
          <w:szCs w:val="20"/>
        </w:rPr>
        <w:t xml:space="preserve"> </w:t>
      </w:r>
      <w:r w:rsidR="00C54B33" w:rsidRPr="00C54B33">
        <w:rPr>
          <w:rFonts w:ascii="Tahoma" w:hAnsi="Tahoma" w:cs="Tahoma"/>
          <w:sz w:val="20"/>
          <w:szCs w:val="20"/>
        </w:rPr>
        <w:t>direttamente dal consorzio o dalle singole imprese consorziate esecutrici, oppure dal consorzio mediante avvalimento dei requisiti in possesso delle imprese consorziate non indicate per l’esecuzione del contratto, ai sensi dell’art. 47, comma 2, del Codice, i quali vengono computati cumulativamente in capo al consorzio.</w:t>
      </w:r>
    </w:p>
    <w:p w:rsidR="00566972" w:rsidRPr="000E08FB" w:rsidRDefault="00EE70D7" w:rsidP="00EE70D7">
      <w:pPr>
        <w:spacing w:before="240" w:after="240"/>
        <w:ind w:right="260"/>
        <w:jc w:val="both"/>
        <w:rPr>
          <w:rFonts w:ascii="Tahoma" w:hAnsi="Tahoma" w:cs="Tahoma"/>
          <w:b/>
          <w:sz w:val="20"/>
          <w:szCs w:val="20"/>
          <w:u w:val="single"/>
        </w:rPr>
      </w:pPr>
      <w:r w:rsidRPr="000E08FB">
        <w:rPr>
          <w:rFonts w:ascii="Tahoma" w:hAnsi="Tahoma" w:cs="Tahoma"/>
          <w:b/>
          <w:sz w:val="20"/>
          <w:szCs w:val="20"/>
          <w:u w:val="single"/>
        </w:rPr>
        <w:t>SEZIONE IV: PROCEDURA</w:t>
      </w:r>
    </w:p>
    <w:p w:rsidR="00032CF3" w:rsidRPr="000E08FB" w:rsidRDefault="00032CF3" w:rsidP="00032CF3">
      <w:pPr>
        <w:shd w:val="clear" w:color="auto" w:fill="FFFFFF"/>
        <w:spacing w:before="240"/>
        <w:ind w:right="260"/>
        <w:jc w:val="both"/>
        <w:rPr>
          <w:rFonts w:ascii="Tahoma" w:hAnsi="Tahoma" w:cs="Tahoma"/>
          <w:b/>
          <w:bCs/>
          <w:kern w:val="1"/>
          <w:sz w:val="20"/>
          <w:szCs w:val="20"/>
          <w:u w:val="single"/>
        </w:rPr>
      </w:pPr>
      <w:r w:rsidRPr="000E08FB">
        <w:rPr>
          <w:rFonts w:ascii="Tahoma" w:hAnsi="Tahoma" w:cs="Tahoma"/>
          <w:b/>
          <w:bCs/>
          <w:kern w:val="1"/>
          <w:sz w:val="20"/>
          <w:szCs w:val="20"/>
          <w:u w:val="single"/>
        </w:rPr>
        <w:t>IV.1) Descrizione</w:t>
      </w:r>
    </w:p>
    <w:p w:rsidR="00566972" w:rsidRPr="000E08FB" w:rsidRDefault="00566972" w:rsidP="00EE70D7">
      <w:pPr>
        <w:ind w:right="260"/>
        <w:jc w:val="both"/>
        <w:rPr>
          <w:rFonts w:ascii="Tahoma" w:hAnsi="Tahoma" w:cs="Tahoma"/>
          <w:sz w:val="20"/>
          <w:szCs w:val="20"/>
        </w:rPr>
      </w:pPr>
      <w:r w:rsidRPr="000E08FB">
        <w:rPr>
          <w:rFonts w:ascii="Tahoma" w:hAnsi="Tahoma" w:cs="Tahoma"/>
          <w:b/>
          <w:sz w:val="20"/>
          <w:szCs w:val="20"/>
        </w:rPr>
        <w:t xml:space="preserve">IV.1.1) Tipo di procedura: </w:t>
      </w:r>
      <w:r w:rsidRPr="000E08FB">
        <w:rPr>
          <w:rFonts w:ascii="Tahoma" w:hAnsi="Tahoma" w:cs="Tahoma"/>
          <w:sz w:val="20"/>
          <w:szCs w:val="20"/>
        </w:rPr>
        <w:t xml:space="preserve">Procedura aperta ai sensi dell'art. 60 del </w:t>
      </w:r>
      <w:r w:rsidR="00DE65C2" w:rsidRPr="000E08FB">
        <w:rPr>
          <w:rFonts w:ascii="Tahoma" w:hAnsi="Tahoma" w:cs="Tahoma"/>
          <w:sz w:val="20"/>
          <w:szCs w:val="20"/>
        </w:rPr>
        <w:t>D. Lgs</w:t>
      </w:r>
      <w:r w:rsidRPr="000E08FB">
        <w:rPr>
          <w:rFonts w:ascii="Tahoma" w:hAnsi="Tahoma" w:cs="Tahoma"/>
          <w:sz w:val="20"/>
          <w:szCs w:val="20"/>
        </w:rPr>
        <w:t xml:space="preserve">. 50/2016 </w:t>
      </w:r>
    </w:p>
    <w:p w:rsidR="00032CF3" w:rsidRPr="000E08FB" w:rsidRDefault="00032CF3" w:rsidP="00032CF3">
      <w:pPr>
        <w:shd w:val="clear" w:color="auto" w:fill="FFFFFF"/>
        <w:spacing w:before="240"/>
        <w:ind w:right="260"/>
        <w:jc w:val="both"/>
        <w:rPr>
          <w:rFonts w:ascii="Tahoma" w:hAnsi="Tahoma" w:cs="Tahoma"/>
          <w:b/>
          <w:bCs/>
          <w:kern w:val="1"/>
          <w:sz w:val="20"/>
          <w:szCs w:val="20"/>
          <w:u w:val="single"/>
        </w:rPr>
      </w:pPr>
      <w:r w:rsidRPr="000E08FB">
        <w:rPr>
          <w:rFonts w:ascii="Tahoma" w:hAnsi="Tahoma" w:cs="Tahoma"/>
          <w:b/>
          <w:bCs/>
          <w:kern w:val="1"/>
          <w:sz w:val="20"/>
          <w:szCs w:val="20"/>
          <w:u w:val="single"/>
        </w:rPr>
        <w:t>IV.2)</w:t>
      </w:r>
      <w:r w:rsidRPr="000E08FB">
        <w:rPr>
          <w:sz w:val="20"/>
          <w:szCs w:val="20"/>
        </w:rPr>
        <w:t xml:space="preserve"> </w:t>
      </w:r>
      <w:r w:rsidRPr="000E08FB">
        <w:rPr>
          <w:rFonts w:ascii="Tahoma" w:hAnsi="Tahoma" w:cs="Tahoma"/>
          <w:b/>
          <w:bCs/>
          <w:kern w:val="1"/>
          <w:sz w:val="20"/>
          <w:szCs w:val="20"/>
          <w:u w:val="single"/>
        </w:rPr>
        <w:t>Informazioni di carattere amministrativo</w:t>
      </w:r>
    </w:p>
    <w:p w:rsidR="00566972" w:rsidRPr="000E08FB" w:rsidRDefault="00566972" w:rsidP="00EE70D7">
      <w:pPr>
        <w:ind w:right="260"/>
        <w:jc w:val="both"/>
        <w:rPr>
          <w:rFonts w:ascii="Tahoma" w:hAnsi="Tahoma" w:cs="Tahoma"/>
          <w:b/>
          <w:sz w:val="20"/>
          <w:szCs w:val="20"/>
        </w:rPr>
      </w:pPr>
      <w:r w:rsidRPr="00431719">
        <w:rPr>
          <w:rFonts w:ascii="Tahoma" w:hAnsi="Tahoma" w:cs="Tahoma"/>
          <w:b/>
          <w:sz w:val="20"/>
          <w:szCs w:val="20"/>
        </w:rPr>
        <w:t xml:space="preserve">IV.2.2) Termine per il ricevimento delle offerte: </w:t>
      </w:r>
      <w:r w:rsidR="005F527A">
        <w:rPr>
          <w:rFonts w:ascii="Tahoma" w:hAnsi="Tahoma" w:cs="Tahoma"/>
          <w:sz w:val="20"/>
          <w:szCs w:val="20"/>
        </w:rPr>
        <w:t>E</w:t>
      </w:r>
      <w:r w:rsidRPr="00431719">
        <w:rPr>
          <w:rFonts w:ascii="Tahoma" w:hAnsi="Tahoma" w:cs="Tahoma"/>
          <w:sz w:val="20"/>
          <w:szCs w:val="20"/>
        </w:rPr>
        <w:t xml:space="preserve">ntro le ore </w:t>
      </w:r>
      <w:r w:rsidR="00431719" w:rsidRPr="006F2B4D">
        <w:rPr>
          <w:rFonts w:ascii="Tahoma" w:hAnsi="Tahoma" w:cs="Tahoma"/>
          <w:b/>
          <w:sz w:val="20"/>
          <w:szCs w:val="20"/>
        </w:rPr>
        <w:t>12</w:t>
      </w:r>
      <w:r w:rsidRPr="006F2B4D">
        <w:rPr>
          <w:rFonts w:ascii="Tahoma" w:hAnsi="Tahoma" w:cs="Tahoma"/>
          <w:b/>
          <w:sz w:val="20"/>
          <w:szCs w:val="20"/>
        </w:rPr>
        <w:t>.00</w:t>
      </w:r>
      <w:r w:rsidRPr="00431719">
        <w:rPr>
          <w:rFonts w:ascii="Tahoma" w:hAnsi="Tahoma" w:cs="Tahoma"/>
          <w:sz w:val="20"/>
          <w:szCs w:val="20"/>
        </w:rPr>
        <w:t xml:space="preserve"> del giorno </w:t>
      </w:r>
      <w:r w:rsidR="00431719" w:rsidRPr="006F2B4D">
        <w:rPr>
          <w:rFonts w:ascii="Tahoma" w:hAnsi="Tahoma" w:cs="Tahoma"/>
          <w:b/>
          <w:sz w:val="20"/>
          <w:szCs w:val="20"/>
        </w:rPr>
        <w:t>26</w:t>
      </w:r>
      <w:r w:rsidRPr="006F2B4D">
        <w:rPr>
          <w:rFonts w:ascii="Tahoma" w:hAnsi="Tahoma" w:cs="Tahoma"/>
          <w:b/>
          <w:sz w:val="20"/>
          <w:szCs w:val="20"/>
        </w:rPr>
        <w:t>/0</w:t>
      </w:r>
      <w:r w:rsidR="00431719" w:rsidRPr="006F2B4D">
        <w:rPr>
          <w:rFonts w:ascii="Tahoma" w:hAnsi="Tahoma" w:cs="Tahoma"/>
          <w:b/>
          <w:sz w:val="20"/>
          <w:szCs w:val="20"/>
        </w:rPr>
        <w:t>9</w:t>
      </w:r>
      <w:r w:rsidRPr="006F2B4D">
        <w:rPr>
          <w:rFonts w:ascii="Tahoma" w:hAnsi="Tahoma" w:cs="Tahoma"/>
          <w:b/>
          <w:sz w:val="20"/>
          <w:szCs w:val="20"/>
        </w:rPr>
        <w:t>/2018</w:t>
      </w:r>
      <w:r w:rsidRPr="00431719">
        <w:rPr>
          <w:rFonts w:ascii="Tahoma" w:hAnsi="Tahoma" w:cs="Tahoma"/>
          <w:sz w:val="20"/>
          <w:szCs w:val="20"/>
        </w:rPr>
        <w:t>.</w:t>
      </w:r>
    </w:p>
    <w:p w:rsidR="00566972" w:rsidRPr="000E08FB" w:rsidRDefault="00566972" w:rsidP="00EE70D7">
      <w:pPr>
        <w:ind w:right="260"/>
        <w:jc w:val="both"/>
        <w:rPr>
          <w:rFonts w:ascii="Tahoma" w:hAnsi="Tahoma" w:cs="Tahoma"/>
          <w:b/>
          <w:sz w:val="20"/>
          <w:szCs w:val="20"/>
        </w:rPr>
      </w:pPr>
      <w:r w:rsidRPr="000E08FB">
        <w:rPr>
          <w:rFonts w:ascii="Tahoma" w:hAnsi="Tahoma" w:cs="Tahoma"/>
          <w:b/>
          <w:sz w:val="20"/>
          <w:szCs w:val="20"/>
        </w:rPr>
        <w:t>IV.2.4) Lingue utilizzabili per la presentazione delle offerte:</w:t>
      </w:r>
      <w:r w:rsidRPr="000E08FB">
        <w:rPr>
          <w:rFonts w:ascii="Tahoma" w:hAnsi="Tahoma" w:cs="Tahoma"/>
          <w:sz w:val="20"/>
          <w:szCs w:val="20"/>
        </w:rPr>
        <w:t xml:space="preserve"> </w:t>
      </w:r>
      <w:r w:rsidR="002436E8" w:rsidRPr="002436E8">
        <w:rPr>
          <w:rFonts w:ascii="Tahoma" w:hAnsi="Tahoma" w:cs="Tahoma"/>
          <w:sz w:val="20"/>
          <w:szCs w:val="20"/>
        </w:rPr>
        <w:t>Italiana, eventuale documentazione prodotta in lingua straniera dovrà essere corredata di idonea traduzione giurata in italiano</w:t>
      </w:r>
      <w:r w:rsidR="002436E8">
        <w:rPr>
          <w:rFonts w:ascii="Tahoma" w:hAnsi="Tahoma" w:cs="Tahoma"/>
          <w:sz w:val="20"/>
          <w:szCs w:val="20"/>
        </w:rPr>
        <w:t>.</w:t>
      </w:r>
    </w:p>
    <w:p w:rsidR="002436E8" w:rsidRDefault="00566972" w:rsidP="002436E8">
      <w:pPr>
        <w:ind w:right="260"/>
        <w:jc w:val="both"/>
        <w:rPr>
          <w:rFonts w:asciiTheme="minorHAnsi" w:hAnsiTheme="minorHAnsi" w:cs="Tahoma"/>
          <w:b/>
          <w:sz w:val="22"/>
          <w:szCs w:val="22"/>
        </w:rPr>
      </w:pPr>
      <w:r w:rsidRPr="000E08FB">
        <w:rPr>
          <w:rFonts w:ascii="Tahoma" w:hAnsi="Tahoma" w:cs="Tahoma"/>
          <w:b/>
          <w:sz w:val="20"/>
          <w:szCs w:val="20"/>
        </w:rPr>
        <w:t xml:space="preserve">IV.2.6) Periodo minimo durante il quale l’offerente è vincolato alla propria offerta: </w:t>
      </w:r>
      <w:r w:rsidRPr="000E08FB">
        <w:rPr>
          <w:rFonts w:ascii="Tahoma" w:hAnsi="Tahoma" w:cs="Tahoma"/>
          <w:sz w:val="20"/>
          <w:szCs w:val="20"/>
        </w:rPr>
        <w:t>L’offerta è vincolante per i concorrenti per 180 giorni dalla scadenza del termine di ricezione delle offerte.</w:t>
      </w:r>
      <w:r w:rsidR="00291104">
        <w:rPr>
          <w:rFonts w:ascii="Tahoma" w:hAnsi="Tahoma" w:cs="Tahoma"/>
          <w:sz w:val="20"/>
          <w:szCs w:val="20"/>
        </w:rPr>
        <w:t xml:space="preserve"> </w:t>
      </w:r>
      <w:r w:rsidR="00291104" w:rsidRPr="00291104">
        <w:rPr>
          <w:rFonts w:ascii="Tahoma" w:hAnsi="Tahoma" w:cs="Tahoma"/>
          <w:sz w:val="20"/>
          <w:szCs w:val="20"/>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566972" w:rsidRPr="000E08FB" w:rsidRDefault="00566972" w:rsidP="00EE70D7">
      <w:pPr>
        <w:ind w:right="260"/>
        <w:jc w:val="both"/>
        <w:rPr>
          <w:rFonts w:ascii="Tahoma" w:hAnsi="Tahoma" w:cs="Tahoma"/>
          <w:sz w:val="20"/>
          <w:szCs w:val="20"/>
        </w:rPr>
      </w:pPr>
      <w:r w:rsidRPr="000E08FB">
        <w:rPr>
          <w:rFonts w:ascii="Tahoma" w:hAnsi="Tahoma" w:cs="Tahoma"/>
          <w:b/>
          <w:sz w:val="20"/>
          <w:szCs w:val="20"/>
        </w:rPr>
        <w:lastRenderedPageBreak/>
        <w:t>IV.2.7) Modalità di apertura delle offerte:</w:t>
      </w:r>
      <w:r w:rsidRPr="000E08FB">
        <w:rPr>
          <w:rFonts w:ascii="Tahoma" w:hAnsi="Tahoma" w:cs="Tahoma"/>
          <w:sz w:val="20"/>
          <w:szCs w:val="20"/>
        </w:rPr>
        <w:t xml:space="preserve"> La prima seduta pubblica avrà luogo </w:t>
      </w:r>
      <w:r w:rsidR="00AC3C7C" w:rsidRPr="000E08FB">
        <w:rPr>
          <w:rFonts w:ascii="Tahoma" w:hAnsi="Tahoma" w:cs="Tahoma"/>
          <w:sz w:val="20"/>
          <w:szCs w:val="20"/>
        </w:rPr>
        <w:t xml:space="preserve">il </w:t>
      </w:r>
      <w:r w:rsidR="00AC3C7C" w:rsidRPr="00431719">
        <w:rPr>
          <w:rFonts w:ascii="Tahoma" w:hAnsi="Tahoma" w:cs="Tahoma"/>
          <w:sz w:val="20"/>
          <w:szCs w:val="20"/>
        </w:rPr>
        <w:t xml:space="preserve">giorno </w:t>
      </w:r>
      <w:r w:rsidR="00AC3C7C" w:rsidRPr="006F2B4D">
        <w:rPr>
          <w:rFonts w:ascii="Tahoma" w:hAnsi="Tahoma" w:cs="Tahoma"/>
          <w:b/>
          <w:sz w:val="20"/>
          <w:szCs w:val="20"/>
        </w:rPr>
        <w:t>05/10/2018</w:t>
      </w:r>
      <w:r w:rsidR="00AC3C7C" w:rsidRPr="00431719">
        <w:rPr>
          <w:rFonts w:ascii="Tahoma" w:hAnsi="Tahoma" w:cs="Tahoma"/>
          <w:sz w:val="20"/>
          <w:szCs w:val="20"/>
        </w:rPr>
        <w:t xml:space="preserve">, alle ore </w:t>
      </w:r>
      <w:r w:rsidR="00AC3C7C" w:rsidRPr="006F2B4D">
        <w:rPr>
          <w:rFonts w:ascii="Tahoma" w:hAnsi="Tahoma" w:cs="Tahoma"/>
          <w:b/>
          <w:sz w:val="20"/>
          <w:szCs w:val="20"/>
        </w:rPr>
        <w:t>10</w:t>
      </w:r>
      <w:r w:rsidR="006B4E8D">
        <w:rPr>
          <w:rFonts w:ascii="Tahoma" w:hAnsi="Tahoma" w:cs="Tahoma"/>
          <w:b/>
          <w:sz w:val="20"/>
          <w:szCs w:val="20"/>
        </w:rPr>
        <w:t>:</w:t>
      </w:r>
      <w:r w:rsidR="00AC3C7C" w:rsidRPr="006F2B4D">
        <w:rPr>
          <w:rFonts w:ascii="Tahoma" w:hAnsi="Tahoma" w:cs="Tahoma"/>
          <w:b/>
          <w:sz w:val="20"/>
          <w:szCs w:val="20"/>
        </w:rPr>
        <w:t>00</w:t>
      </w:r>
      <w:r w:rsidR="00AC3C7C" w:rsidRPr="00AC3C7C">
        <w:rPr>
          <w:rFonts w:ascii="Tahoma" w:hAnsi="Tahoma" w:cs="Tahoma"/>
          <w:sz w:val="20"/>
          <w:szCs w:val="20"/>
        </w:rPr>
        <w:t xml:space="preserve"> </w:t>
      </w:r>
      <w:r w:rsidRPr="00AC3C7C">
        <w:rPr>
          <w:rFonts w:ascii="Tahoma" w:hAnsi="Tahoma" w:cs="Tahoma"/>
          <w:sz w:val="20"/>
          <w:szCs w:val="20"/>
        </w:rPr>
        <w:t xml:space="preserve">presso la </w:t>
      </w:r>
      <w:r w:rsidR="008C078C" w:rsidRPr="00AC3C7C">
        <w:rPr>
          <w:rFonts w:ascii="Tahoma" w:hAnsi="Tahoma" w:cs="Tahoma"/>
          <w:sz w:val="20"/>
          <w:szCs w:val="20"/>
        </w:rPr>
        <w:t>sede della CNPADC in via Mantova n 1 -</w:t>
      </w:r>
      <w:r w:rsidR="00431719" w:rsidRPr="00AC3C7C">
        <w:rPr>
          <w:rFonts w:ascii="Tahoma" w:hAnsi="Tahoma" w:cs="Tahoma"/>
          <w:sz w:val="20"/>
          <w:szCs w:val="20"/>
        </w:rPr>
        <w:t xml:space="preserve"> </w:t>
      </w:r>
      <w:r w:rsidR="008C078C" w:rsidRPr="00AC3C7C">
        <w:rPr>
          <w:rFonts w:ascii="Tahoma" w:hAnsi="Tahoma" w:cs="Tahoma"/>
          <w:sz w:val="20"/>
          <w:szCs w:val="20"/>
        </w:rPr>
        <w:t>00198 Roma</w:t>
      </w:r>
      <w:r w:rsidR="00AC3C7C" w:rsidRPr="00AC3C7C">
        <w:rPr>
          <w:rFonts w:ascii="Tahoma" w:hAnsi="Tahoma" w:cs="Tahoma"/>
          <w:sz w:val="20"/>
          <w:szCs w:val="20"/>
        </w:rPr>
        <w:t xml:space="preserve"> o presso altra sede che sarà opportunamente resa nota con congruo anticipo a mezzo pubblicazione sul sito informatico della CNPADC o PEC</w:t>
      </w:r>
      <w:r w:rsidRPr="00AC3C7C">
        <w:rPr>
          <w:rFonts w:ascii="Tahoma" w:hAnsi="Tahoma" w:cs="Tahoma"/>
          <w:sz w:val="20"/>
          <w:szCs w:val="20"/>
        </w:rPr>
        <w:t>, e vi potranno</w:t>
      </w:r>
      <w:r w:rsidRPr="000E08FB">
        <w:rPr>
          <w:rFonts w:ascii="Tahoma" w:hAnsi="Tahoma" w:cs="Tahoma"/>
          <w:sz w:val="20"/>
          <w:szCs w:val="20"/>
        </w:rPr>
        <w:t xml:space="preserve"> partecipare i legali rappresentant</w:t>
      </w:r>
      <w:r w:rsidR="002436E8">
        <w:rPr>
          <w:rFonts w:ascii="Tahoma" w:hAnsi="Tahoma" w:cs="Tahoma"/>
          <w:sz w:val="20"/>
          <w:szCs w:val="20"/>
        </w:rPr>
        <w:t>i</w:t>
      </w:r>
      <w:r w:rsidR="002436E8" w:rsidRPr="002436E8">
        <w:rPr>
          <w:rFonts w:ascii="Tahoma" w:hAnsi="Tahoma" w:cs="Tahoma"/>
          <w:sz w:val="20"/>
          <w:szCs w:val="20"/>
        </w:rPr>
        <w:t xml:space="preserve">/procuratori </w:t>
      </w:r>
      <w:r w:rsidRPr="000E08FB">
        <w:rPr>
          <w:rFonts w:ascii="Tahoma" w:hAnsi="Tahoma" w:cs="Tahoma"/>
          <w:sz w:val="20"/>
          <w:szCs w:val="20"/>
        </w:rPr>
        <w:t>delle imprese interessate oppure persone munite di specifica delega</w:t>
      </w:r>
      <w:r w:rsidR="002436E8">
        <w:rPr>
          <w:rFonts w:ascii="Tahoma" w:hAnsi="Tahoma" w:cs="Tahoma"/>
          <w:sz w:val="20"/>
          <w:szCs w:val="20"/>
        </w:rPr>
        <w:t xml:space="preserve">. </w:t>
      </w:r>
      <w:r w:rsidRPr="000E08FB">
        <w:rPr>
          <w:rFonts w:ascii="Tahoma" w:hAnsi="Tahoma" w:cs="Tahoma"/>
          <w:sz w:val="20"/>
          <w:szCs w:val="20"/>
        </w:rPr>
        <w:t xml:space="preserve">Le operazioni di gara potranno essere aggiornate ad altra ora o ai giorni successivi e le successive eventuali sedute pubbliche avranno luogo </w:t>
      </w:r>
      <w:r w:rsidRPr="00AC3C7C">
        <w:rPr>
          <w:rFonts w:ascii="Tahoma" w:hAnsi="Tahoma" w:cs="Tahoma"/>
          <w:sz w:val="20"/>
          <w:szCs w:val="20"/>
        </w:rPr>
        <w:t>presso la medesima sede all’orario</w:t>
      </w:r>
      <w:r w:rsidRPr="000E08FB">
        <w:rPr>
          <w:rFonts w:ascii="Tahoma" w:hAnsi="Tahoma" w:cs="Tahoma"/>
          <w:sz w:val="20"/>
          <w:szCs w:val="20"/>
        </w:rPr>
        <w:t xml:space="preserve"> e giorno che sarà comunicato con congruo preavviso ai concorrenti a mezzo pubblicazione sul sito informatico </w:t>
      </w:r>
      <w:r w:rsidR="00D27621" w:rsidRPr="000E08FB">
        <w:rPr>
          <w:rFonts w:ascii="Tahoma" w:hAnsi="Tahoma" w:cs="Tahoma"/>
          <w:sz w:val="20"/>
          <w:szCs w:val="20"/>
        </w:rPr>
        <w:t>o</w:t>
      </w:r>
      <w:r w:rsidRPr="000E08FB">
        <w:rPr>
          <w:rFonts w:ascii="Tahoma" w:hAnsi="Tahoma" w:cs="Tahoma"/>
          <w:sz w:val="20"/>
          <w:szCs w:val="20"/>
        </w:rPr>
        <w:t xml:space="preserve"> PEC.</w:t>
      </w:r>
    </w:p>
    <w:p w:rsidR="00566972" w:rsidRPr="000E08FB" w:rsidRDefault="00D27621" w:rsidP="00D27621">
      <w:pPr>
        <w:spacing w:before="240" w:after="240"/>
        <w:ind w:right="260"/>
        <w:jc w:val="both"/>
        <w:rPr>
          <w:rFonts w:ascii="Tahoma" w:hAnsi="Tahoma" w:cs="Tahoma"/>
          <w:b/>
          <w:sz w:val="20"/>
          <w:szCs w:val="20"/>
          <w:u w:val="single"/>
        </w:rPr>
      </w:pPr>
      <w:r w:rsidRPr="000E08FB">
        <w:rPr>
          <w:rFonts w:ascii="Tahoma" w:hAnsi="Tahoma" w:cs="Tahoma"/>
          <w:b/>
          <w:sz w:val="20"/>
          <w:szCs w:val="20"/>
          <w:u w:val="single"/>
        </w:rPr>
        <w:t>SEZIONE VI: ALTRE INFORMAZIONI</w:t>
      </w:r>
    </w:p>
    <w:p w:rsidR="00566972" w:rsidRPr="000E08FB" w:rsidRDefault="00566972" w:rsidP="00EE70D7">
      <w:pPr>
        <w:ind w:right="260"/>
        <w:jc w:val="both"/>
        <w:rPr>
          <w:rFonts w:ascii="Tahoma" w:hAnsi="Tahoma" w:cs="Tahoma"/>
          <w:sz w:val="20"/>
          <w:szCs w:val="20"/>
        </w:rPr>
      </w:pPr>
      <w:r w:rsidRPr="000E08FB">
        <w:rPr>
          <w:rFonts w:ascii="Tahoma" w:hAnsi="Tahoma" w:cs="Tahoma"/>
          <w:b/>
          <w:sz w:val="20"/>
          <w:szCs w:val="20"/>
          <w:u w:val="single"/>
        </w:rPr>
        <w:t xml:space="preserve">VI.3) Informazioni complementari: </w:t>
      </w:r>
    </w:p>
    <w:p w:rsidR="00DC4E35" w:rsidRPr="00431719" w:rsidRDefault="00DC4E35" w:rsidP="00431719">
      <w:pPr>
        <w:numPr>
          <w:ilvl w:val="0"/>
          <w:numId w:val="22"/>
        </w:numPr>
        <w:suppressAutoHyphens/>
        <w:ind w:left="426" w:right="260" w:hanging="426"/>
        <w:contextualSpacing/>
        <w:jc w:val="both"/>
        <w:rPr>
          <w:rFonts w:ascii="Tahoma" w:hAnsi="Tahoma" w:cs="Tahoma"/>
          <w:sz w:val="20"/>
          <w:szCs w:val="20"/>
        </w:rPr>
      </w:pPr>
      <w:r w:rsidRPr="00DC4E35">
        <w:rPr>
          <w:rFonts w:ascii="Tahoma" w:hAnsi="Tahoma" w:cs="Tahoma"/>
          <w:sz w:val="20"/>
          <w:szCs w:val="20"/>
        </w:rPr>
        <w:t xml:space="preserve">Il Codice Identificativo della Gara (CIG), anche ai fini del pagamento del contributo dovuto all'Autorità Nazionale </w:t>
      </w:r>
      <w:r w:rsidRPr="00431719">
        <w:rPr>
          <w:rFonts w:ascii="Tahoma" w:hAnsi="Tahoma" w:cs="Tahoma"/>
          <w:sz w:val="20"/>
          <w:szCs w:val="20"/>
        </w:rPr>
        <w:t>Anticorruzione ("ANAC") è il seguente: CIG</w:t>
      </w:r>
      <w:r w:rsidR="00431719" w:rsidRPr="00431719">
        <w:rPr>
          <w:rFonts w:ascii="Tahoma" w:hAnsi="Tahoma" w:cs="Tahoma"/>
          <w:sz w:val="20"/>
          <w:szCs w:val="20"/>
        </w:rPr>
        <w:t xml:space="preserve"> 7584196487</w:t>
      </w:r>
      <w:r w:rsidRPr="00431719">
        <w:rPr>
          <w:rFonts w:ascii="Tahoma" w:hAnsi="Tahoma" w:cs="Tahoma"/>
          <w:sz w:val="20"/>
          <w:szCs w:val="20"/>
        </w:rPr>
        <w:t>.</w:t>
      </w:r>
    </w:p>
    <w:p w:rsidR="00DC4E35" w:rsidRPr="00CD048A" w:rsidRDefault="00DC4E35" w:rsidP="00CD048A">
      <w:pPr>
        <w:numPr>
          <w:ilvl w:val="0"/>
          <w:numId w:val="22"/>
        </w:numPr>
        <w:suppressAutoHyphens/>
        <w:ind w:left="426" w:right="260" w:hanging="426"/>
        <w:contextualSpacing/>
        <w:jc w:val="both"/>
        <w:rPr>
          <w:rFonts w:ascii="Tahoma" w:hAnsi="Tahoma" w:cs="Tahoma"/>
          <w:sz w:val="20"/>
          <w:szCs w:val="20"/>
        </w:rPr>
      </w:pPr>
      <w:r w:rsidRPr="00DC4E35">
        <w:rPr>
          <w:rFonts w:ascii="Tahoma" w:hAnsi="Tahoma" w:cs="Tahoma"/>
          <w:sz w:val="20"/>
          <w:szCs w:val="20"/>
        </w:rPr>
        <w:t xml:space="preserve">Eventuali informazioni complementari e/o chiarimenti di natura tecnica o amministrativa sulla documentazione di gara, formulate in lingua italiana, potranno essere inoltrate </w:t>
      </w:r>
      <w:r w:rsidR="00CD048A" w:rsidRPr="00DC4E35">
        <w:rPr>
          <w:rFonts w:ascii="Tahoma" w:hAnsi="Tahoma" w:cs="Tahoma"/>
          <w:sz w:val="20"/>
          <w:szCs w:val="20"/>
        </w:rPr>
        <w:t>all’indirizzo di posta elettronica</w:t>
      </w:r>
      <w:r w:rsidR="00CD048A">
        <w:rPr>
          <w:rFonts w:ascii="Tahoma" w:hAnsi="Tahoma" w:cs="Tahoma"/>
          <w:sz w:val="20"/>
          <w:szCs w:val="20"/>
        </w:rPr>
        <w:t xml:space="preserve"> </w:t>
      </w:r>
      <w:hyperlink r:id="rId12" w:history="1">
        <w:r w:rsidR="00CD048A" w:rsidRPr="00B66E50">
          <w:rPr>
            <w:rStyle w:val="Collegamentoipertestuale"/>
            <w:rFonts w:ascii="Tahoma" w:hAnsi="Tahoma" w:cs="Tahoma"/>
            <w:sz w:val="20"/>
            <w:szCs w:val="20"/>
          </w:rPr>
          <w:t>servizio.acquisti@pec.cnpadc.it</w:t>
        </w:r>
      </w:hyperlink>
      <w:r w:rsidR="00CD048A" w:rsidRPr="00CD048A">
        <w:rPr>
          <w:rFonts w:ascii="Tahoma" w:hAnsi="Tahoma" w:cs="Tahoma"/>
          <w:sz w:val="20"/>
          <w:szCs w:val="20"/>
        </w:rPr>
        <w:t xml:space="preserve"> </w:t>
      </w:r>
      <w:r w:rsidR="00CD048A" w:rsidRPr="00DC4E35">
        <w:rPr>
          <w:rFonts w:ascii="Tahoma" w:hAnsi="Tahoma" w:cs="Tahoma"/>
          <w:sz w:val="20"/>
          <w:szCs w:val="20"/>
        </w:rPr>
        <w:t>e per conoscenza</w:t>
      </w:r>
      <w:r w:rsidR="00CD048A">
        <w:rPr>
          <w:rFonts w:ascii="Tahoma" w:hAnsi="Tahoma" w:cs="Tahoma"/>
          <w:sz w:val="20"/>
          <w:szCs w:val="20"/>
        </w:rPr>
        <w:t xml:space="preserve"> a</w:t>
      </w:r>
      <w:r w:rsidRPr="00CD048A">
        <w:rPr>
          <w:rFonts w:ascii="Tahoma" w:hAnsi="Tahoma" w:cs="Tahoma"/>
          <w:sz w:val="20"/>
          <w:szCs w:val="20"/>
        </w:rPr>
        <w:t xml:space="preserve"> </w:t>
      </w:r>
      <w:hyperlink r:id="rId13" w:history="1">
        <w:r w:rsidRPr="00CD048A">
          <w:rPr>
            <w:rStyle w:val="Collegamentoipertestuale"/>
            <w:rFonts w:ascii="Tahoma" w:hAnsi="Tahoma" w:cs="Tahoma"/>
            <w:sz w:val="20"/>
            <w:szCs w:val="20"/>
          </w:rPr>
          <w:t>g.mungari@cnpadc.it</w:t>
        </w:r>
      </w:hyperlink>
      <w:r w:rsidRPr="00CD048A">
        <w:rPr>
          <w:rFonts w:ascii="Tahoma" w:hAnsi="Tahoma" w:cs="Tahoma"/>
          <w:sz w:val="20"/>
          <w:szCs w:val="20"/>
        </w:rPr>
        <w:t xml:space="preserve"> e dovranno pervenire entro e non oltre </w:t>
      </w:r>
      <w:r w:rsidRPr="000967BA">
        <w:rPr>
          <w:rFonts w:ascii="Tahoma" w:hAnsi="Tahoma" w:cs="Tahoma"/>
          <w:sz w:val="20"/>
          <w:szCs w:val="20"/>
        </w:rPr>
        <w:t xml:space="preserve">il </w:t>
      </w:r>
      <w:r w:rsidR="00431719" w:rsidRPr="006B4E8D">
        <w:rPr>
          <w:rFonts w:ascii="Tahoma" w:hAnsi="Tahoma" w:cs="Tahoma"/>
          <w:b/>
          <w:sz w:val="20"/>
          <w:szCs w:val="20"/>
        </w:rPr>
        <w:t>09</w:t>
      </w:r>
      <w:r w:rsidRPr="006B4E8D">
        <w:rPr>
          <w:rFonts w:ascii="Tahoma" w:hAnsi="Tahoma" w:cs="Tahoma"/>
          <w:b/>
          <w:sz w:val="20"/>
          <w:szCs w:val="20"/>
        </w:rPr>
        <w:t>/</w:t>
      </w:r>
      <w:r w:rsidR="00431719" w:rsidRPr="006B4E8D">
        <w:rPr>
          <w:rFonts w:ascii="Tahoma" w:hAnsi="Tahoma" w:cs="Tahoma"/>
          <w:b/>
          <w:sz w:val="20"/>
          <w:szCs w:val="20"/>
        </w:rPr>
        <w:t>09</w:t>
      </w:r>
      <w:r w:rsidRPr="006B4E8D">
        <w:rPr>
          <w:rFonts w:ascii="Tahoma" w:hAnsi="Tahoma" w:cs="Tahoma"/>
          <w:b/>
          <w:sz w:val="20"/>
          <w:szCs w:val="20"/>
        </w:rPr>
        <w:t>/2018</w:t>
      </w:r>
      <w:r w:rsidRPr="000967BA">
        <w:rPr>
          <w:rFonts w:ascii="Tahoma" w:hAnsi="Tahoma" w:cs="Tahoma"/>
          <w:sz w:val="20"/>
          <w:szCs w:val="20"/>
        </w:rPr>
        <w:t xml:space="preserve"> ore </w:t>
      </w:r>
      <w:r w:rsidR="00431719" w:rsidRPr="006B4E8D">
        <w:rPr>
          <w:rFonts w:ascii="Tahoma" w:hAnsi="Tahoma" w:cs="Tahoma"/>
          <w:b/>
          <w:sz w:val="20"/>
          <w:szCs w:val="20"/>
        </w:rPr>
        <w:t>12:00</w:t>
      </w:r>
      <w:r w:rsidRPr="000967BA">
        <w:rPr>
          <w:rFonts w:ascii="Tahoma" w:hAnsi="Tahoma" w:cs="Tahoma"/>
          <w:sz w:val="20"/>
          <w:szCs w:val="20"/>
        </w:rPr>
        <w:t>. Le richieste pervenute oltre tale data non saranno prese in considerazione. Non</w:t>
      </w:r>
      <w:r w:rsidRPr="00CD048A">
        <w:rPr>
          <w:rFonts w:ascii="Tahoma" w:hAnsi="Tahoma" w:cs="Tahoma"/>
          <w:sz w:val="20"/>
          <w:szCs w:val="20"/>
        </w:rPr>
        <w:t xml:space="preserve"> saranno, pertanto, fornite risposte ai quesiti pervenuti successivamente al termine indicato. Le risposte ai chiarimenti e/o le rettifiche agli atti di gara e/o eventuali ulteriori informazioni sostanziali, saranno pubblicate in all’indirizzo: </w:t>
      </w:r>
      <w:hyperlink r:id="rId14" w:history="1">
        <w:r w:rsidRPr="00CD048A">
          <w:rPr>
            <w:rStyle w:val="Collegamentoipertestuale"/>
            <w:rFonts w:ascii="Tahoma" w:hAnsi="Tahoma" w:cs="Tahoma"/>
            <w:sz w:val="20"/>
            <w:szCs w:val="20"/>
          </w:rPr>
          <w:t>https://www.cnpadc.it/la-cassa/cnpadc-trasparente/bandi-di-gare-e-contratti/gare.html</w:t>
        </w:r>
      </w:hyperlink>
      <w:r w:rsidRPr="00CD048A">
        <w:rPr>
          <w:rFonts w:ascii="Tahoma" w:hAnsi="Tahoma" w:cs="Tahoma"/>
          <w:sz w:val="20"/>
          <w:szCs w:val="20"/>
        </w:rPr>
        <w:t xml:space="preserve"> in forma anonima.</w:t>
      </w:r>
    </w:p>
    <w:p w:rsidR="00566972" w:rsidRPr="000E08FB" w:rsidRDefault="00566972" w:rsidP="00D27621">
      <w:pPr>
        <w:numPr>
          <w:ilvl w:val="0"/>
          <w:numId w:val="22"/>
        </w:numPr>
        <w:suppressAutoHyphens/>
        <w:ind w:left="426" w:right="260" w:hanging="426"/>
        <w:contextualSpacing/>
        <w:jc w:val="both"/>
        <w:rPr>
          <w:rFonts w:ascii="Tahoma" w:hAnsi="Tahoma" w:cs="Tahoma"/>
          <w:sz w:val="20"/>
          <w:szCs w:val="20"/>
        </w:rPr>
      </w:pPr>
      <w:r w:rsidRPr="000E08FB">
        <w:rPr>
          <w:rFonts w:ascii="Tahoma" w:hAnsi="Tahoma" w:cs="Tahoma"/>
          <w:sz w:val="20"/>
          <w:szCs w:val="20"/>
        </w:rPr>
        <w:t>Nel caso in cui le imprese in possesso dei requisiti generali di cui all’art. 80 del D</w:t>
      </w:r>
      <w:r w:rsidR="005F527A">
        <w:rPr>
          <w:rFonts w:ascii="Tahoma" w:hAnsi="Tahoma" w:cs="Tahoma"/>
          <w:sz w:val="20"/>
          <w:szCs w:val="20"/>
        </w:rPr>
        <w:t>.</w:t>
      </w:r>
      <w:r w:rsidR="00DE65C2" w:rsidRPr="000E08FB">
        <w:rPr>
          <w:rFonts w:ascii="Tahoma" w:hAnsi="Tahoma" w:cs="Tahoma"/>
          <w:sz w:val="20"/>
          <w:szCs w:val="20"/>
        </w:rPr>
        <w:t>L</w:t>
      </w:r>
      <w:r w:rsidRPr="000E08FB">
        <w:rPr>
          <w:rFonts w:ascii="Tahoma" w:hAnsi="Tahoma" w:cs="Tahoma"/>
          <w:sz w:val="20"/>
          <w:szCs w:val="20"/>
        </w:rPr>
        <w:t xml:space="preserve">gs 50/2016, carenti dei requisiti di carattere economico, finanziario, tecnico ed organizzativo richiesti dal bando, vogliano partecipare alla gara utilizzando l’istituto dell’avvalimento, potranno soddisfare tale loro esigenza presentando, nel rispetto delle prescrizioni del DPR 445/2000, la documentazione prevista al comma 1 dell'art. 89 del D.Lgs n. 50/2016, come meglio specificato nel </w:t>
      </w:r>
      <w:r w:rsidR="005F527A">
        <w:rPr>
          <w:rFonts w:ascii="Tahoma" w:hAnsi="Tahoma" w:cs="Tahoma"/>
          <w:sz w:val="20"/>
          <w:szCs w:val="20"/>
        </w:rPr>
        <w:t>D</w:t>
      </w:r>
      <w:r w:rsidRPr="000E08FB">
        <w:rPr>
          <w:rFonts w:ascii="Tahoma" w:hAnsi="Tahoma" w:cs="Tahoma"/>
          <w:sz w:val="20"/>
          <w:szCs w:val="20"/>
        </w:rPr>
        <w:t>isciplinare di gara.</w:t>
      </w:r>
    </w:p>
    <w:p w:rsidR="00566972" w:rsidRPr="000E08FB" w:rsidRDefault="00566972" w:rsidP="00D27621">
      <w:pPr>
        <w:numPr>
          <w:ilvl w:val="0"/>
          <w:numId w:val="22"/>
        </w:numPr>
        <w:suppressAutoHyphens/>
        <w:spacing w:after="200"/>
        <w:ind w:left="426" w:right="260" w:hanging="426"/>
        <w:contextualSpacing/>
        <w:jc w:val="both"/>
        <w:rPr>
          <w:rFonts w:ascii="Tahoma" w:hAnsi="Tahoma" w:cs="Tahoma"/>
          <w:sz w:val="20"/>
          <w:szCs w:val="20"/>
        </w:rPr>
      </w:pPr>
      <w:r w:rsidRPr="000E08FB">
        <w:rPr>
          <w:rFonts w:ascii="Tahoma" w:hAnsi="Tahoma" w:cs="Tahoma"/>
          <w:sz w:val="20"/>
          <w:szCs w:val="20"/>
        </w:rPr>
        <w:t>La stazione appaltante si riserva di non procedere all'aggiudicazione se nessuna offerta risulti conveniente o idonea in relazione all'oggetto del contratto (art. 95, comma 12,</w:t>
      </w:r>
      <w:r w:rsidR="00DE65C2">
        <w:rPr>
          <w:rFonts w:ascii="Tahoma" w:hAnsi="Tahoma" w:cs="Tahoma"/>
          <w:sz w:val="20"/>
          <w:szCs w:val="20"/>
        </w:rPr>
        <w:t xml:space="preserve"> </w:t>
      </w:r>
      <w:r w:rsidR="00DE65C2" w:rsidRPr="000E08FB">
        <w:rPr>
          <w:rFonts w:ascii="Tahoma" w:hAnsi="Tahoma" w:cs="Tahoma"/>
          <w:sz w:val="20"/>
          <w:szCs w:val="20"/>
        </w:rPr>
        <w:t>D</w:t>
      </w:r>
      <w:r w:rsidRPr="000E08FB">
        <w:rPr>
          <w:rFonts w:ascii="Tahoma" w:hAnsi="Tahoma" w:cs="Tahoma"/>
          <w:sz w:val="20"/>
          <w:szCs w:val="20"/>
        </w:rPr>
        <w:t>.</w:t>
      </w:r>
      <w:r w:rsidR="00DE65C2" w:rsidRPr="000E08FB">
        <w:rPr>
          <w:rFonts w:ascii="Tahoma" w:hAnsi="Tahoma" w:cs="Tahoma"/>
          <w:sz w:val="20"/>
          <w:szCs w:val="20"/>
        </w:rPr>
        <w:t>L</w:t>
      </w:r>
      <w:r w:rsidRPr="000E08FB">
        <w:rPr>
          <w:rFonts w:ascii="Tahoma" w:hAnsi="Tahoma" w:cs="Tahoma"/>
          <w:sz w:val="20"/>
          <w:szCs w:val="20"/>
        </w:rPr>
        <w:t xml:space="preserve">gs. 50/2016). </w:t>
      </w:r>
    </w:p>
    <w:p w:rsidR="00566972" w:rsidRPr="000E08FB" w:rsidRDefault="00566972" w:rsidP="00D27621">
      <w:pPr>
        <w:numPr>
          <w:ilvl w:val="0"/>
          <w:numId w:val="22"/>
        </w:numPr>
        <w:suppressAutoHyphens/>
        <w:spacing w:after="200"/>
        <w:ind w:left="426" w:right="260" w:hanging="426"/>
        <w:contextualSpacing/>
        <w:jc w:val="both"/>
        <w:rPr>
          <w:rFonts w:ascii="Tahoma" w:hAnsi="Tahoma" w:cs="Tahoma"/>
          <w:sz w:val="20"/>
          <w:szCs w:val="20"/>
        </w:rPr>
      </w:pPr>
      <w:r w:rsidRPr="000E08FB">
        <w:rPr>
          <w:rFonts w:ascii="Tahoma" w:hAnsi="Tahoma" w:cs="Tahoma"/>
          <w:sz w:val="20"/>
          <w:szCs w:val="20"/>
        </w:rPr>
        <w:t>Per i consorzi di cui all’art. 45, comma 2, lettere b) e c), D.Lgs. 50/2016, la sussistenza dei requisiti richiesti è valutata, ai sensi dell’art. 47 del D.Lgs</w:t>
      </w:r>
      <w:r w:rsidR="00F15B10">
        <w:rPr>
          <w:rFonts w:ascii="Tahoma" w:hAnsi="Tahoma" w:cs="Tahoma"/>
          <w:sz w:val="20"/>
          <w:szCs w:val="20"/>
        </w:rPr>
        <w:t>.</w:t>
      </w:r>
      <w:r w:rsidRPr="000E08FB">
        <w:rPr>
          <w:rFonts w:ascii="Tahoma" w:hAnsi="Tahoma" w:cs="Tahoma"/>
          <w:sz w:val="20"/>
          <w:szCs w:val="20"/>
        </w:rPr>
        <w:t xml:space="preserve"> 50/2016.</w:t>
      </w:r>
    </w:p>
    <w:p w:rsidR="00566972" w:rsidRPr="000E08FB" w:rsidRDefault="00566972" w:rsidP="00D27621">
      <w:pPr>
        <w:numPr>
          <w:ilvl w:val="0"/>
          <w:numId w:val="22"/>
        </w:numPr>
        <w:suppressAutoHyphens/>
        <w:spacing w:after="200"/>
        <w:ind w:left="426" w:right="260" w:hanging="426"/>
        <w:contextualSpacing/>
        <w:jc w:val="both"/>
        <w:rPr>
          <w:rFonts w:ascii="Tahoma" w:hAnsi="Tahoma" w:cs="Tahoma"/>
          <w:sz w:val="20"/>
          <w:szCs w:val="20"/>
        </w:rPr>
      </w:pPr>
      <w:r w:rsidRPr="000E08FB">
        <w:rPr>
          <w:rFonts w:ascii="Tahoma" w:hAnsi="Tahoma" w:cs="Tahoma"/>
          <w:sz w:val="20"/>
          <w:szCs w:val="20"/>
        </w:rPr>
        <w:t>Gli importi dichiarati da operatori economici stabiliti in stati diversi dall’Italia, qualora espressi in altra valuta, dovranno essere convertiti in euro.</w:t>
      </w:r>
    </w:p>
    <w:p w:rsidR="00566972" w:rsidRPr="000E08FB" w:rsidRDefault="00566972" w:rsidP="00D27621">
      <w:pPr>
        <w:widowControl w:val="0"/>
        <w:numPr>
          <w:ilvl w:val="0"/>
          <w:numId w:val="22"/>
        </w:numPr>
        <w:suppressAutoHyphens/>
        <w:autoSpaceDE w:val="0"/>
        <w:spacing w:after="66"/>
        <w:ind w:left="426" w:right="260" w:hanging="426"/>
        <w:contextualSpacing/>
        <w:jc w:val="both"/>
        <w:rPr>
          <w:rFonts w:ascii="Tahoma" w:hAnsi="Tahoma" w:cs="Tahoma"/>
          <w:sz w:val="20"/>
          <w:szCs w:val="20"/>
        </w:rPr>
      </w:pPr>
      <w:r w:rsidRPr="000E08FB">
        <w:rPr>
          <w:rFonts w:ascii="Tahoma" w:hAnsi="Tahoma" w:cs="Tahoma"/>
          <w:sz w:val="20"/>
          <w:szCs w:val="20"/>
        </w:rPr>
        <w:t>Ai sensi dell’art. 97, comma 3 del D.lgs. 50/2016, la congruità delle offerte è valutata sulle offerte che presentano sia i punti relativi al prezzo, sia la somma dei punti relativi agli altri elementi di valutazione, entrambi pari o superiori ai quattro quinti dei corrispondenti punti massimi previsti dal bando di gara.</w:t>
      </w:r>
    </w:p>
    <w:p w:rsidR="00750C56" w:rsidRPr="000E08FB" w:rsidRDefault="0009413E" w:rsidP="0009413E">
      <w:pPr>
        <w:widowControl w:val="0"/>
        <w:numPr>
          <w:ilvl w:val="0"/>
          <w:numId w:val="22"/>
        </w:numPr>
        <w:suppressAutoHyphens/>
        <w:autoSpaceDE w:val="0"/>
        <w:spacing w:after="66"/>
        <w:ind w:left="426" w:right="260" w:hanging="426"/>
        <w:contextualSpacing/>
        <w:jc w:val="both"/>
        <w:rPr>
          <w:rFonts w:ascii="Tahoma" w:hAnsi="Tahoma" w:cs="Tahoma"/>
          <w:sz w:val="20"/>
          <w:szCs w:val="20"/>
        </w:rPr>
      </w:pPr>
      <w:r w:rsidRPr="0009413E">
        <w:rPr>
          <w:rFonts w:ascii="Tahoma" w:hAnsi="Tahoma" w:cs="Tahoma"/>
          <w:sz w:val="20"/>
          <w:szCs w:val="20"/>
        </w:rPr>
        <w:t>Ai sensi degli artt. 34 e 71 del Codice, l’esecuzione dell’appalto avviene nel rispetto delle disposizioni di cui al D.M. 24 maggio 2012, recante “</w:t>
      </w:r>
      <w:r w:rsidRPr="0009413E">
        <w:rPr>
          <w:rFonts w:ascii="Tahoma" w:hAnsi="Tahoma" w:cs="Tahoma"/>
          <w:i/>
          <w:sz w:val="20"/>
          <w:szCs w:val="20"/>
        </w:rPr>
        <w:t>Criteri ambientali minimi per l’affidamento del servizio di pulizia e per la fornitura di prodotti per l’igiene</w:t>
      </w:r>
      <w:r>
        <w:rPr>
          <w:rFonts w:ascii="Tahoma" w:hAnsi="Tahoma" w:cs="Tahoma"/>
          <w:sz w:val="20"/>
          <w:szCs w:val="20"/>
        </w:rPr>
        <w:t>”.</w:t>
      </w:r>
    </w:p>
    <w:p w:rsidR="00750C56" w:rsidRPr="000E08FB" w:rsidRDefault="00566972" w:rsidP="00D1212E">
      <w:pPr>
        <w:numPr>
          <w:ilvl w:val="0"/>
          <w:numId w:val="22"/>
        </w:numPr>
        <w:suppressAutoHyphens/>
        <w:spacing w:after="200"/>
        <w:ind w:left="426" w:right="260" w:hanging="426"/>
        <w:contextualSpacing/>
        <w:jc w:val="both"/>
        <w:rPr>
          <w:rFonts w:ascii="Tahoma" w:hAnsi="Tahoma" w:cs="Tahoma"/>
          <w:sz w:val="20"/>
          <w:szCs w:val="20"/>
        </w:rPr>
      </w:pPr>
      <w:r w:rsidRPr="000E08FB">
        <w:rPr>
          <w:rFonts w:ascii="Tahoma" w:hAnsi="Tahoma" w:cs="Tahoma"/>
          <w:sz w:val="20"/>
          <w:szCs w:val="20"/>
        </w:rPr>
        <w:t>È previsto il sopralluogo obbligatorio</w:t>
      </w:r>
      <w:r w:rsidR="00D1212E">
        <w:rPr>
          <w:rFonts w:ascii="Tahoma" w:hAnsi="Tahoma" w:cs="Tahoma"/>
          <w:sz w:val="20"/>
          <w:szCs w:val="20"/>
        </w:rPr>
        <w:t xml:space="preserve">. La richiesta </w:t>
      </w:r>
      <w:r w:rsidR="00D1212E" w:rsidRPr="00D1212E">
        <w:rPr>
          <w:rFonts w:ascii="Tahoma" w:hAnsi="Tahoma" w:cs="Tahoma"/>
          <w:sz w:val="20"/>
          <w:szCs w:val="20"/>
        </w:rPr>
        <w:t xml:space="preserve">dovrà essere inviata entro le ore </w:t>
      </w:r>
      <w:r w:rsidR="00D1212E" w:rsidRPr="00D1212E">
        <w:rPr>
          <w:rFonts w:ascii="Tahoma" w:hAnsi="Tahoma" w:cs="Tahoma"/>
          <w:b/>
          <w:sz w:val="20"/>
          <w:szCs w:val="20"/>
        </w:rPr>
        <w:t>12:00</w:t>
      </w:r>
      <w:r w:rsidR="00D1212E" w:rsidRPr="00D1212E">
        <w:rPr>
          <w:rFonts w:ascii="Tahoma" w:hAnsi="Tahoma" w:cs="Tahoma"/>
          <w:sz w:val="20"/>
          <w:szCs w:val="20"/>
        </w:rPr>
        <w:t xml:space="preserve"> del giorno </w:t>
      </w:r>
      <w:r w:rsidR="00D1212E" w:rsidRPr="00D1212E">
        <w:rPr>
          <w:rFonts w:ascii="Tahoma" w:hAnsi="Tahoma" w:cs="Tahoma"/>
          <w:b/>
          <w:sz w:val="20"/>
          <w:szCs w:val="20"/>
        </w:rPr>
        <w:t>23/08/2018</w:t>
      </w:r>
      <w:r w:rsidR="00D1212E">
        <w:rPr>
          <w:rFonts w:ascii="Tahoma" w:hAnsi="Tahoma" w:cs="Tahoma"/>
          <w:b/>
          <w:sz w:val="20"/>
          <w:szCs w:val="20"/>
        </w:rPr>
        <w:t xml:space="preserve"> </w:t>
      </w:r>
      <w:r w:rsidR="002E4543" w:rsidRPr="000E08FB">
        <w:rPr>
          <w:rFonts w:ascii="Tahoma" w:hAnsi="Tahoma" w:cs="Tahoma"/>
          <w:sz w:val="20"/>
          <w:szCs w:val="20"/>
        </w:rPr>
        <w:t xml:space="preserve">ai seguenti recapiti </w:t>
      </w:r>
      <w:hyperlink r:id="rId15" w:history="1">
        <w:r w:rsidR="00D1212E" w:rsidRPr="00680F3E">
          <w:rPr>
            <w:rStyle w:val="Collegamentoipertestuale"/>
            <w:rFonts w:ascii="Tahoma" w:hAnsi="Tahoma" w:cs="Tahoma"/>
            <w:sz w:val="20"/>
            <w:szCs w:val="20"/>
          </w:rPr>
          <w:t>g.mungari@cnpadc.it</w:t>
        </w:r>
      </w:hyperlink>
      <w:r w:rsidR="00D1212E">
        <w:rPr>
          <w:rFonts w:ascii="Tahoma" w:hAnsi="Tahoma" w:cs="Tahoma"/>
          <w:sz w:val="20"/>
          <w:szCs w:val="20"/>
        </w:rPr>
        <w:t xml:space="preserve"> </w:t>
      </w:r>
      <w:r w:rsidR="00D1212E" w:rsidRPr="00D1212E">
        <w:rPr>
          <w:rFonts w:ascii="Tahoma" w:hAnsi="Tahoma" w:cs="Tahoma"/>
          <w:sz w:val="20"/>
          <w:szCs w:val="20"/>
        </w:rPr>
        <w:t xml:space="preserve">e p.c. a </w:t>
      </w:r>
      <w:hyperlink r:id="rId16" w:history="1">
        <w:r w:rsidR="00D1212E" w:rsidRPr="00680F3E">
          <w:rPr>
            <w:rStyle w:val="Collegamentoipertestuale"/>
            <w:rFonts w:ascii="Tahoma" w:hAnsi="Tahoma" w:cs="Tahoma"/>
            <w:sz w:val="20"/>
            <w:szCs w:val="20"/>
          </w:rPr>
          <w:t>servizio.acquisti@pec.cnpadc.it</w:t>
        </w:r>
      </w:hyperlink>
      <w:r w:rsidR="00D1212E">
        <w:rPr>
          <w:rFonts w:ascii="Tahoma" w:hAnsi="Tahoma" w:cs="Tahoma"/>
          <w:sz w:val="20"/>
          <w:szCs w:val="20"/>
        </w:rPr>
        <w:t xml:space="preserve">. </w:t>
      </w:r>
      <w:r w:rsidRPr="000E08FB">
        <w:rPr>
          <w:rFonts w:ascii="Tahoma" w:hAnsi="Tahoma" w:cs="Tahoma"/>
          <w:sz w:val="20"/>
          <w:szCs w:val="20"/>
        </w:rPr>
        <w:t xml:space="preserve">La mancata effettuazione del sopralluogo è causa di esclusione dalla procedura di gara. Il sopralluogo può essere effettuato dal rappresentante legale/procuratore/direttore tecnico in possesso del documento di identità, o da soggetto in possesso del documento di identità e apposita delega munita di copia del documento di identità del delegante. Il soggetto delegato ad effettuare il sopralluogo non può ricevere l’incarico da più concorrenti. La stazione appaltante rilascia attestazione di avvenuto sopralluogo. In caso di raggruppamento temporaneo o consorzio ordinario già costituiti, in relazione al regime della solidarietà di cui all’art. 48, comma 5, del Codice, tra i diversi operatori economici, il sopralluogo può essere effettuato da un rappresentante legale/procuratore/direttore tecnico di uno degli operatori economici raggruppati, aggregati in rete o consorziati o da soggetto diverso, purché munito della delega del mandatario/capofila. In caso di raggruppamento temporaneo o consorzio ordinario non ancora costituiti, il sopralluogo è effettuato da un rappresentante legale/procuratore/direttore tecnico di uno degli operatori economici raggruppati, aggregati in rete o consorziati o da soggetto diverso, purché munito della delega di tutti detti operatori. In alternativa l’operatore raggruppando/aggregando/consorziando può effettuare il sopralluogo singolarmente. In caso di consorzio di cui </w:t>
      </w:r>
      <w:r w:rsidRPr="000E08FB">
        <w:rPr>
          <w:rFonts w:ascii="Tahoma" w:hAnsi="Tahoma" w:cs="Tahoma"/>
          <w:sz w:val="20"/>
          <w:szCs w:val="20"/>
        </w:rPr>
        <w:lastRenderedPageBreak/>
        <w:t>all’art. 45, comma 2, lett. b) e c) del Codice il sopralluogo deve essere effettuato da soggetto munito di</w:t>
      </w:r>
      <w:r w:rsidR="00D27621" w:rsidRPr="000E08FB">
        <w:rPr>
          <w:rFonts w:ascii="Tahoma" w:hAnsi="Tahoma" w:cs="Tahoma"/>
          <w:sz w:val="20"/>
          <w:szCs w:val="20"/>
        </w:rPr>
        <w:t xml:space="preserve"> delega conferita dal consorzio.</w:t>
      </w:r>
    </w:p>
    <w:p w:rsidR="00566972" w:rsidRPr="000E08FB" w:rsidRDefault="00566972" w:rsidP="00406A30">
      <w:pPr>
        <w:numPr>
          <w:ilvl w:val="0"/>
          <w:numId w:val="22"/>
        </w:numPr>
        <w:suppressAutoHyphens/>
        <w:ind w:left="426" w:right="260" w:hanging="426"/>
        <w:contextualSpacing/>
        <w:jc w:val="both"/>
        <w:rPr>
          <w:rFonts w:ascii="Tahoma" w:hAnsi="Tahoma" w:cs="Tahoma"/>
          <w:sz w:val="20"/>
          <w:szCs w:val="20"/>
        </w:rPr>
      </w:pPr>
      <w:r w:rsidRPr="000E08FB">
        <w:rPr>
          <w:rFonts w:ascii="Tahoma" w:hAnsi="Tahoma" w:cs="Tahoma"/>
          <w:sz w:val="20"/>
          <w:szCs w:val="20"/>
        </w:rPr>
        <w:t xml:space="preserve">Gli operatori economici dovranno versare, a favore dell’Autorità nazionale anticorruzione e secondo le istruzioni riportate sul sito internet </w:t>
      </w:r>
      <w:hyperlink r:id="rId17" w:history="1">
        <w:r w:rsidR="008074DA" w:rsidRPr="006D15FB">
          <w:rPr>
            <w:rStyle w:val="Collegamentoipertestuale"/>
            <w:rFonts w:ascii="Tahoma" w:hAnsi="Tahoma" w:cs="Tahoma"/>
            <w:sz w:val="20"/>
            <w:szCs w:val="20"/>
          </w:rPr>
          <w:t>www.anac.it</w:t>
        </w:r>
      </w:hyperlink>
      <w:r w:rsidRPr="000E08FB">
        <w:rPr>
          <w:rFonts w:ascii="Tahoma" w:hAnsi="Tahoma" w:cs="Tahoma"/>
          <w:sz w:val="20"/>
          <w:szCs w:val="20"/>
        </w:rPr>
        <w:t>, l</w:t>
      </w:r>
      <w:r w:rsidR="007B2810" w:rsidRPr="000E08FB">
        <w:rPr>
          <w:rFonts w:ascii="Tahoma" w:hAnsi="Tahoma" w:cs="Tahoma"/>
          <w:sz w:val="20"/>
          <w:szCs w:val="20"/>
        </w:rPr>
        <w:t>a</w:t>
      </w:r>
      <w:r w:rsidRPr="000E08FB">
        <w:rPr>
          <w:rFonts w:ascii="Tahoma" w:hAnsi="Tahoma" w:cs="Tahoma"/>
          <w:sz w:val="20"/>
          <w:szCs w:val="20"/>
        </w:rPr>
        <w:t xml:space="preserve"> seguent</w:t>
      </w:r>
      <w:r w:rsidR="007B2810" w:rsidRPr="000E08FB">
        <w:rPr>
          <w:rFonts w:ascii="Tahoma" w:hAnsi="Tahoma" w:cs="Tahoma"/>
          <w:sz w:val="20"/>
          <w:szCs w:val="20"/>
        </w:rPr>
        <w:t>e</w:t>
      </w:r>
      <w:r w:rsidRPr="000E08FB">
        <w:rPr>
          <w:rFonts w:ascii="Tahoma" w:hAnsi="Tahoma" w:cs="Tahoma"/>
          <w:sz w:val="20"/>
          <w:szCs w:val="20"/>
        </w:rPr>
        <w:t xml:space="preserve"> somm</w:t>
      </w:r>
      <w:r w:rsidR="007B2810" w:rsidRPr="000E08FB">
        <w:rPr>
          <w:rFonts w:ascii="Tahoma" w:hAnsi="Tahoma" w:cs="Tahoma"/>
          <w:sz w:val="20"/>
          <w:szCs w:val="20"/>
        </w:rPr>
        <w:t>a</w:t>
      </w:r>
      <w:r w:rsidRPr="000E08FB">
        <w:rPr>
          <w:rFonts w:ascii="Tahoma" w:hAnsi="Tahoma" w:cs="Tahoma"/>
          <w:sz w:val="20"/>
          <w:szCs w:val="20"/>
        </w:rPr>
        <w:t>:</w:t>
      </w:r>
      <w:r w:rsidR="00750C56" w:rsidRPr="000E08FB">
        <w:rPr>
          <w:rFonts w:ascii="Tahoma" w:hAnsi="Tahoma" w:cs="Tahoma"/>
          <w:sz w:val="20"/>
          <w:szCs w:val="20"/>
        </w:rPr>
        <w:t xml:space="preserve"> </w:t>
      </w:r>
      <w:r w:rsidRPr="00D1212E">
        <w:rPr>
          <w:rFonts w:ascii="Tahoma" w:hAnsi="Tahoma" w:cs="Tahoma"/>
          <w:b/>
          <w:sz w:val="20"/>
          <w:szCs w:val="20"/>
        </w:rPr>
        <w:t>CIG</w:t>
      </w:r>
      <w:r w:rsidR="00D1212E" w:rsidRPr="00D1212E">
        <w:rPr>
          <w:rFonts w:ascii="Tahoma" w:hAnsi="Tahoma" w:cs="Tahoma"/>
          <w:b/>
          <w:sz w:val="20"/>
          <w:szCs w:val="20"/>
        </w:rPr>
        <w:t xml:space="preserve"> 7584196487</w:t>
      </w:r>
      <w:r w:rsidR="00D1212E">
        <w:rPr>
          <w:rFonts w:ascii="Tahoma" w:hAnsi="Tahoma" w:cs="Tahoma"/>
          <w:sz w:val="20"/>
          <w:szCs w:val="20"/>
        </w:rPr>
        <w:t>,</w:t>
      </w:r>
      <w:r w:rsidR="007B2810" w:rsidRPr="000E08FB">
        <w:rPr>
          <w:rFonts w:ascii="Tahoma" w:hAnsi="Tahoma" w:cs="Tahoma"/>
          <w:sz w:val="20"/>
          <w:szCs w:val="20"/>
        </w:rPr>
        <w:t xml:space="preserve"> €</w:t>
      </w:r>
      <w:r w:rsidR="002E4543" w:rsidRPr="000E08FB">
        <w:rPr>
          <w:rFonts w:ascii="Tahoma" w:hAnsi="Tahoma" w:cs="Tahoma"/>
          <w:sz w:val="20"/>
          <w:szCs w:val="20"/>
        </w:rPr>
        <w:t xml:space="preserve"> </w:t>
      </w:r>
      <w:r w:rsidR="002E4543" w:rsidRPr="000E08FB">
        <w:rPr>
          <w:rFonts w:ascii="Tahoma" w:hAnsi="Tahoma" w:cs="Tahoma"/>
          <w:sz w:val="20"/>
          <w:szCs w:val="20"/>
          <w:shd w:val="clear" w:color="auto" w:fill="FFFFFF" w:themeFill="background1"/>
        </w:rPr>
        <w:t>140,00</w:t>
      </w:r>
      <w:r w:rsidR="007B2810" w:rsidRPr="000E08FB">
        <w:rPr>
          <w:rFonts w:ascii="Tahoma" w:hAnsi="Tahoma" w:cs="Tahoma"/>
          <w:sz w:val="20"/>
          <w:szCs w:val="20"/>
          <w:shd w:val="clear" w:color="auto" w:fill="FFFFFF" w:themeFill="background1"/>
        </w:rPr>
        <w:t xml:space="preserve"> (euro</w:t>
      </w:r>
      <w:r w:rsidR="002E4543" w:rsidRPr="000E08FB">
        <w:rPr>
          <w:rFonts w:ascii="Tahoma" w:hAnsi="Tahoma" w:cs="Tahoma"/>
          <w:sz w:val="20"/>
          <w:szCs w:val="20"/>
          <w:shd w:val="clear" w:color="auto" w:fill="FFFFFF" w:themeFill="background1"/>
        </w:rPr>
        <w:t xml:space="preserve"> centoquaranta/00</w:t>
      </w:r>
      <w:r w:rsidR="007B2810" w:rsidRPr="000E08FB">
        <w:rPr>
          <w:rFonts w:ascii="Tahoma" w:hAnsi="Tahoma" w:cs="Tahoma"/>
          <w:sz w:val="20"/>
          <w:szCs w:val="20"/>
          <w:shd w:val="clear" w:color="auto" w:fill="FFFFFF" w:themeFill="background1"/>
        </w:rPr>
        <w:t>)</w:t>
      </w:r>
      <w:r w:rsidR="00990D8D" w:rsidRPr="000E08FB">
        <w:rPr>
          <w:rFonts w:ascii="Tahoma" w:hAnsi="Tahoma" w:cs="Tahoma"/>
          <w:sz w:val="20"/>
          <w:szCs w:val="20"/>
          <w:shd w:val="clear" w:color="auto" w:fill="FFFFFF" w:themeFill="background1"/>
        </w:rPr>
        <w:t>.</w:t>
      </w:r>
    </w:p>
    <w:p w:rsidR="00990D8D" w:rsidRPr="000E08FB" w:rsidRDefault="00750C56" w:rsidP="00990D8D">
      <w:pPr>
        <w:pStyle w:val="Paragrafoelenco"/>
        <w:widowControl w:val="0"/>
        <w:numPr>
          <w:ilvl w:val="0"/>
          <w:numId w:val="22"/>
        </w:numPr>
        <w:autoSpaceDE w:val="0"/>
        <w:autoSpaceDN w:val="0"/>
        <w:adjustRightInd w:val="0"/>
        <w:spacing w:after="66"/>
        <w:ind w:left="426" w:right="260" w:hanging="426"/>
        <w:jc w:val="both"/>
        <w:rPr>
          <w:rFonts w:ascii="Tahoma" w:hAnsi="Tahoma" w:cs="Tahoma"/>
          <w:color w:val="000000"/>
          <w:sz w:val="20"/>
          <w:szCs w:val="20"/>
        </w:rPr>
      </w:pPr>
      <w:r w:rsidRPr="000E08FB">
        <w:rPr>
          <w:rFonts w:ascii="Tahoma" w:hAnsi="Tahoma" w:cs="Tahoma"/>
          <w:color w:val="000000"/>
          <w:sz w:val="20"/>
          <w:szCs w:val="20"/>
        </w:rPr>
        <w:t xml:space="preserve">Ammesso il subappalto nei limiti e alle condizioni di cui all'art. 105 del </w:t>
      </w:r>
      <w:r w:rsidR="004A073A" w:rsidRPr="000E08FB">
        <w:rPr>
          <w:rFonts w:ascii="Tahoma" w:hAnsi="Tahoma" w:cs="Tahoma"/>
          <w:color w:val="000000"/>
          <w:sz w:val="20"/>
          <w:szCs w:val="20"/>
        </w:rPr>
        <w:t>Codice</w:t>
      </w:r>
      <w:r w:rsidRPr="000E08FB">
        <w:rPr>
          <w:rFonts w:ascii="Tahoma" w:hAnsi="Tahoma" w:cs="Tahoma"/>
          <w:color w:val="000000"/>
          <w:sz w:val="20"/>
          <w:szCs w:val="20"/>
        </w:rPr>
        <w:t xml:space="preserve">.  L'operatore economico in sede di presentazione delle offerte dovrà, ai sensi dell'art. 105 comma 6, </w:t>
      </w:r>
      <w:r w:rsidRPr="000E08FB">
        <w:rPr>
          <w:rFonts w:ascii="Tahoma" w:hAnsi="Tahoma" w:cs="Tahoma"/>
          <w:b/>
          <w:color w:val="000000"/>
          <w:sz w:val="20"/>
          <w:szCs w:val="20"/>
        </w:rPr>
        <w:t>indicare una terna di nomi di subappaltatori</w:t>
      </w:r>
      <w:r w:rsidRPr="000E08FB">
        <w:rPr>
          <w:rFonts w:ascii="Tahoma" w:hAnsi="Tahoma" w:cs="Tahoma"/>
          <w:color w:val="000000"/>
          <w:sz w:val="20"/>
          <w:szCs w:val="20"/>
        </w:rPr>
        <w:t xml:space="preserve">. La Stazione </w:t>
      </w:r>
      <w:r w:rsidR="005F527A">
        <w:rPr>
          <w:rFonts w:ascii="Tahoma" w:hAnsi="Tahoma" w:cs="Tahoma"/>
          <w:color w:val="000000"/>
          <w:sz w:val="20"/>
          <w:szCs w:val="20"/>
        </w:rPr>
        <w:t>A</w:t>
      </w:r>
      <w:r w:rsidRPr="000E08FB">
        <w:rPr>
          <w:rFonts w:ascii="Tahoma" w:hAnsi="Tahoma" w:cs="Tahoma"/>
          <w:color w:val="000000"/>
          <w:sz w:val="20"/>
          <w:szCs w:val="20"/>
        </w:rPr>
        <w:t>ppaltante pagherà direttamente al subappaltatore se quest'ultimo è una micro-impresa o piccola impresa o in caso di inadempimento dell'affidatario su richiesta del subappaltatore e se la natura del contratto lo consente. Viceversa il pagamento sarà effettuato all'appaltatore che dovrà trasmettere entro 20 giorni le fatture quieta</w:t>
      </w:r>
      <w:r w:rsidR="00990D8D" w:rsidRPr="000E08FB">
        <w:rPr>
          <w:rFonts w:ascii="Tahoma" w:hAnsi="Tahoma" w:cs="Tahoma"/>
          <w:color w:val="000000"/>
          <w:sz w:val="20"/>
          <w:szCs w:val="20"/>
        </w:rPr>
        <w:t>nzate emesse dal subappaltatore.</w:t>
      </w:r>
    </w:p>
    <w:p w:rsidR="00750C56" w:rsidRPr="000E08FB" w:rsidRDefault="00750C56" w:rsidP="00D74B57">
      <w:pPr>
        <w:pStyle w:val="Paragrafoelenco"/>
        <w:widowControl w:val="0"/>
        <w:numPr>
          <w:ilvl w:val="0"/>
          <w:numId w:val="22"/>
        </w:numPr>
        <w:autoSpaceDE w:val="0"/>
        <w:autoSpaceDN w:val="0"/>
        <w:adjustRightInd w:val="0"/>
        <w:spacing w:after="66"/>
        <w:ind w:left="426" w:right="260" w:hanging="426"/>
        <w:jc w:val="both"/>
        <w:rPr>
          <w:rFonts w:ascii="Tahoma" w:hAnsi="Tahoma" w:cs="Tahoma"/>
          <w:color w:val="000000"/>
          <w:sz w:val="20"/>
          <w:szCs w:val="20"/>
        </w:rPr>
      </w:pPr>
      <w:r w:rsidRPr="000E08FB">
        <w:rPr>
          <w:rFonts w:ascii="Tahoma" w:hAnsi="Tahoma" w:cs="Tahoma"/>
          <w:color w:val="000000"/>
          <w:sz w:val="20"/>
          <w:szCs w:val="20"/>
        </w:rPr>
        <w:t>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dell'aggiudicatario uscente, come previsto dall'art. 50 del Codice, garantendo l'applicazione dei CCNL di settore, di cui all'art. 51 del D.lgs. n. 81 del 15 giugno 2015</w:t>
      </w:r>
      <w:r w:rsidR="00D74B57">
        <w:rPr>
          <w:rFonts w:ascii="Tahoma" w:hAnsi="Tahoma" w:cs="Tahoma"/>
          <w:color w:val="000000"/>
          <w:sz w:val="20"/>
          <w:szCs w:val="20"/>
        </w:rPr>
        <w:t xml:space="preserve">. </w:t>
      </w:r>
      <w:r w:rsidR="00D74B57" w:rsidRPr="00D74B57">
        <w:rPr>
          <w:rFonts w:ascii="Tahoma" w:hAnsi="Tahoma" w:cs="Tahoma"/>
          <w:color w:val="000000"/>
          <w:sz w:val="20"/>
          <w:szCs w:val="20"/>
        </w:rPr>
        <w:t>Inoltre, considerate le mutate condizioni di esecuzione dell’appalto, rispetto all’appalto stipulato con l’operatore uscente, il personale da riassorbire sarà definito in esito ad una verifica congiunta tra stazione appaltante, appaltatore e sindacati con l’attuazione di quanto previsto dall’art. 4 comma 3 lett. b) del citato CCNL.</w:t>
      </w:r>
    </w:p>
    <w:p w:rsidR="00566972" w:rsidRPr="000E08FB" w:rsidRDefault="00566972" w:rsidP="00D27621">
      <w:pPr>
        <w:widowControl w:val="0"/>
        <w:numPr>
          <w:ilvl w:val="0"/>
          <w:numId w:val="22"/>
        </w:numPr>
        <w:suppressAutoHyphens/>
        <w:autoSpaceDE w:val="0"/>
        <w:spacing w:after="66"/>
        <w:ind w:left="426" w:right="260" w:hanging="426"/>
        <w:contextualSpacing/>
        <w:jc w:val="both"/>
        <w:rPr>
          <w:rFonts w:ascii="Tahoma" w:hAnsi="Tahoma" w:cs="Tahoma"/>
          <w:sz w:val="20"/>
          <w:szCs w:val="20"/>
        </w:rPr>
      </w:pPr>
      <w:r w:rsidRPr="000E08FB">
        <w:rPr>
          <w:rFonts w:ascii="Tahoma" w:hAnsi="Tahoma" w:cs="Tahoma"/>
          <w:sz w:val="20"/>
          <w:szCs w:val="20"/>
        </w:rPr>
        <w:t xml:space="preserve">Ai sensi dell’art. 83 comma 9 del </w:t>
      </w:r>
      <w:r w:rsidR="004A073A" w:rsidRPr="000E08FB">
        <w:rPr>
          <w:rFonts w:ascii="Tahoma" w:hAnsi="Tahoma" w:cs="Tahoma"/>
          <w:sz w:val="20"/>
          <w:szCs w:val="20"/>
        </w:rPr>
        <w:t xml:space="preserve">Codice </w:t>
      </w:r>
      <w:r w:rsidRPr="000E08FB">
        <w:rPr>
          <w:rFonts w:ascii="Tahoma" w:hAnsi="Tahoma" w:cs="Tahoma"/>
          <w:sz w:val="20"/>
          <w:szCs w:val="20"/>
        </w:rPr>
        <w:t xml:space="preserve">“In caso di mancanza, incompletezza e di ogni altra irregolarità essenziale degli elementi e del documento di gara unico europeo di cui all'articolo 85, con esclusione di quelle afferenti all'offerta tecnica ed economica, la stazione appaltante assegna al concorrente un termine </w:t>
      </w:r>
      <w:r w:rsidR="00990D8D" w:rsidRPr="000E08FB">
        <w:rPr>
          <w:rFonts w:ascii="Tahoma" w:hAnsi="Tahoma" w:cs="Tahoma"/>
          <w:sz w:val="20"/>
          <w:szCs w:val="20"/>
        </w:rPr>
        <w:t>non superiore a</w:t>
      </w:r>
      <w:r w:rsidRPr="000E08FB">
        <w:rPr>
          <w:rFonts w:ascii="Tahoma" w:hAnsi="Tahoma" w:cs="Tahoma"/>
          <w:sz w:val="20"/>
          <w:szCs w:val="20"/>
        </w:rPr>
        <w:t xml:space="preserve"> dieci gg,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 </w:t>
      </w:r>
    </w:p>
    <w:p w:rsidR="00566972" w:rsidRPr="00DC4E35" w:rsidRDefault="00D179A5" w:rsidP="00D179A5">
      <w:pPr>
        <w:widowControl w:val="0"/>
        <w:numPr>
          <w:ilvl w:val="0"/>
          <w:numId w:val="22"/>
        </w:numPr>
        <w:suppressAutoHyphens/>
        <w:autoSpaceDE w:val="0"/>
        <w:spacing w:after="66"/>
        <w:ind w:left="426" w:right="260" w:hanging="426"/>
        <w:contextualSpacing/>
        <w:jc w:val="both"/>
        <w:rPr>
          <w:rFonts w:ascii="Tahoma" w:hAnsi="Tahoma" w:cs="Tahoma"/>
          <w:sz w:val="20"/>
          <w:szCs w:val="20"/>
        </w:rPr>
      </w:pPr>
      <w:r w:rsidRPr="00D179A5">
        <w:rPr>
          <w:rFonts w:ascii="Tahoma" w:hAnsi="Tahoma" w:cs="Tahoma"/>
          <w:sz w:val="20"/>
          <w:szCs w:val="20"/>
        </w:rPr>
        <w:t>Per tutte le controversie che dovessero insorgere tra le parti in relazione alla interpretazione, esecuzione e risoluzione del presente Contratto sarà competente in via esclusiva il Foro di Roma</w:t>
      </w:r>
      <w:r w:rsidR="00BF3408">
        <w:rPr>
          <w:rFonts w:ascii="Tahoma" w:hAnsi="Tahoma" w:cs="Tahoma"/>
          <w:sz w:val="20"/>
          <w:szCs w:val="20"/>
        </w:rPr>
        <w:t>.</w:t>
      </w:r>
    </w:p>
    <w:p w:rsidR="00DC4E35" w:rsidRPr="00DC4E35" w:rsidRDefault="00DC4E35" w:rsidP="00DC4E35">
      <w:pPr>
        <w:widowControl w:val="0"/>
        <w:numPr>
          <w:ilvl w:val="0"/>
          <w:numId w:val="22"/>
        </w:numPr>
        <w:suppressAutoHyphens/>
        <w:autoSpaceDE w:val="0"/>
        <w:spacing w:after="66"/>
        <w:ind w:left="426" w:right="260" w:hanging="426"/>
        <w:contextualSpacing/>
        <w:jc w:val="both"/>
        <w:rPr>
          <w:rFonts w:ascii="Tahoma" w:hAnsi="Tahoma" w:cs="Tahoma"/>
          <w:sz w:val="20"/>
          <w:szCs w:val="20"/>
        </w:rPr>
      </w:pPr>
      <w:r w:rsidRPr="00DC4E35">
        <w:rPr>
          <w:rFonts w:ascii="Tahoma" w:hAnsi="Tahoma" w:cs="Tahoma"/>
          <w:sz w:val="20"/>
          <w:szCs w:val="20"/>
        </w:rPr>
        <w:t>Ai sensi dell’art. 216, co. 11, del D.Lgs. 50/2016 s.m.i, le spese per la pubblicazione di cui all’art. 73 del medesimo decreto, sono rimborsate alla CNPADC dall’aggiudicatario entro il termine di sessanta giorni dall’aggiudicazione.</w:t>
      </w:r>
    </w:p>
    <w:p w:rsidR="00566972" w:rsidRPr="000E08FB" w:rsidRDefault="00566972" w:rsidP="00D27621">
      <w:pPr>
        <w:numPr>
          <w:ilvl w:val="0"/>
          <w:numId w:val="22"/>
        </w:numPr>
        <w:suppressAutoHyphens/>
        <w:spacing w:after="200"/>
        <w:ind w:left="426" w:right="260" w:hanging="426"/>
        <w:contextualSpacing/>
        <w:jc w:val="both"/>
        <w:rPr>
          <w:rFonts w:ascii="Tahoma" w:hAnsi="Tahoma" w:cs="Tahoma"/>
          <w:sz w:val="20"/>
          <w:szCs w:val="20"/>
        </w:rPr>
      </w:pPr>
      <w:r w:rsidRPr="000E08FB">
        <w:rPr>
          <w:rFonts w:ascii="Tahoma" w:hAnsi="Tahoma" w:cs="Tahoma"/>
          <w:sz w:val="20"/>
          <w:szCs w:val="20"/>
        </w:rPr>
        <w:t xml:space="preserve">Tutte le spese connesse alla stipula del contratto (imposte, tasse, diritti di segreteria, etc.) sono a totale carico dell’affidatario. </w:t>
      </w:r>
    </w:p>
    <w:p w:rsidR="00566972" w:rsidRPr="000E08FB" w:rsidRDefault="00566972" w:rsidP="00D27621">
      <w:pPr>
        <w:numPr>
          <w:ilvl w:val="0"/>
          <w:numId w:val="22"/>
        </w:numPr>
        <w:suppressAutoHyphens/>
        <w:spacing w:after="200"/>
        <w:ind w:left="426" w:right="260" w:hanging="426"/>
        <w:contextualSpacing/>
        <w:jc w:val="both"/>
        <w:rPr>
          <w:rFonts w:ascii="Tahoma" w:hAnsi="Tahoma" w:cs="Tahoma"/>
          <w:sz w:val="20"/>
          <w:szCs w:val="20"/>
        </w:rPr>
      </w:pPr>
      <w:r w:rsidRPr="000E08FB">
        <w:rPr>
          <w:rFonts w:ascii="Tahoma" w:hAnsi="Tahoma" w:cs="Tahoma"/>
          <w:sz w:val="20"/>
          <w:szCs w:val="20"/>
        </w:rPr>
        <w:t>I pagamenti saranno effettuati con le modalità previste nel Capitolato Speciale di Appalto</w:t>
      </w:r>
      <w:r w:rsidR="00990D8D" w:rsidRPr="000E08FB">
        <w:rPr>
          <w:rFonts w:ascii="Tahoma" w:hAnsi="Tahoma" w:cs="Tahoma"/>
          <w:sz w:val="20"/>
          <w:szCs w:val="20"/>
        </w:rPr>
        <w:t xml:space="preserve"> e nello Schema di Contratto</w:t>
      </w:r>
      <w:r w:rsidRPr="000E08FB">
        <w:rPr>
          <w:rFonts w:ascii="Tahoma" w:hAnsi="Tahoma" w:cs="Tahoma"/>
          <w:sz w:val="20"/>
          <w:szCs w:val="20"/>
        </w:rPr>
        <w:t>.  Il contratto è soggetto agli obblighi di tracciabilità dei flussi finanziari ai sensi dell'art 3 della legge 136/2010.</w:t>
      </w:r>
    </w:p>
    <w:p w:rsidR="00DC4E35" w:rsidRDefault="00DC4E35" w:rsidP="00DC4E35">
      <w:pPr>
        <w:numPr>
          <w:ilvl w:val="0"/>
          <w:numId w:val="22"/>
        </w:numPr>
        <w:suppressAutoHyphens/>
        <w:spacing w:after="200"/>
        <w:ind w:left="426" w:right="260" w:hanging="426"/>
        <w:contextualSpacing/>
        <w:jc w:val="both"/>
        <w:rPr>
          <w:rFonts w:ascii="Tahoma" w:hAnsi="Tahoma" w:cs="Tahoma"/>
          <w:sz w:val="20"/>
          <w:szCs w:val="20"/>
        </w:rPr>
      </w:pPr>
      <w:r w:rsidRPr="00DC4E35">
        <w:rPr>
          <w:rFonts w:ascii="Tahoma" w:hAnsi="Tahoma" w:cs="Tahoma"/>
          <w:sz w:val="20"/>
          <w:szCs w:val="20"/>
        </w:rPr>
        <w:t>I partecipanti, inviando le proprie offerte, consentono il trattamento dei propri dati, anche personali, per le connesse esigenze concorsuali e contrattuali</w:t>
      </w:r>
      <w:r>
        <w:rPr>
          <w:rFonts w:ascii="Tahoma" w:hAnsi="Tahoma" w:cs="Tahoma"/>
          <w:sz w:val="20"/>
          <w:szCs w:val="20"/>
        </w:rPr>
        <w:t>.</w:t>
      </w:r>
    </w:p>
    <w:p w:rsidR="00566972" w:rsidRPr="000E08FB" w:rsidRDefault="00566972" w:rsidP="00D27621">
      <w:pPr>
        <w:numPr>
          <w:ilvl w:val="0"/>
          <w:numId w:val="22"/>
        </w:numPr>
        <w:suppressAutoHyphens/>
        <w:spacing w:after="200"/>
        <w:ind w:left="426" w:right="260" w:hanging="426"/>
        <w:contextualSpacing/>
        <w:jc w:val="both"/>
        <w:rPr>
          <w:rFonts w:ascii="Tahoma" w:hAnsi="Tahoma" w:cs="Tahoma"/>
          <w:sz w:val="20"/>
          <w:szCs w:val="20"/>
        </w:rPr>
      </w:pPr>
      <w:r w:rsidRPr="000E08FB">
        <w:rPr>
          <w:rFonts w:ascii="Tahoma" w:hAnsi="Tahoma" w:cs="Tahoma"/>
          <w:sz w:val="20"/>
          <w:szCs w:val="20"/>
        </w:rPr>
        <w:t xml:space="preserve">Per quanto non previsto </w:t>
      </w:r>
      <w:r w:rsidR="006F4A41">
        <w:rPr>
          <w:rFonts w:ascii="Tahoma" w:hAnsi="Tahoma" w:cs="Tahoma"/>
          <w:sz w:val="20"/>
          <w:szCs w:val="20"/>
        </w:rPr>
        <w:t xml:space="preserve">nel presente Bando </w:t>
      </w:r>
      <w:r w:rsidRPr="000E08FB">
        <w:rPr>
          <w:rFonts w:ascii="Tahoma" w:hAnsi="Tahoma" w:cs="Tahoma"/>
          <w:sz w:val="20"/>
          <w:szCs w:val="20"/>
        </w:rPr>
        <w:t>si rinvia al disciplinare di gara e alle norme vigenti in materia.</w:t>
      </w:r>
    </w:p>
    <w:p w:rsidR="00566972" w:rsidRPr="000E08FB" w:rsidRDefault="00566972" w:rsidP="0034036A">
      <w:pPr>
        <w:ind w:right="260"/>
        <w:jc w:val="both"/>
        <w:rPr>
          <w:rFonts w:ascii="Tahoma" w:hAnsi="Tahoma" w:cs="Tahoma"/>
          <w:b/>
          <w:sz w:val="20"/>
          <w:szCs w:val="20"/>
          <w:u w:val="single"/>
        </w:rPr>
      </w:pPr>
      <w:r w:rsidRPr="000E08FB">
        <w:rPr>
          <w:rFonts w:ascii="Tahoma" w:hAnsi="Tahoma" w:cs="Tahoma"/>
          <w:b/>
          <w:sz w:val="20"/>
          <w:szCs w:val="20"/>
          <w:u w:val="single"/>
        </w:rPr>
        <w:t>VI.4) Procedure di ricorso.</w:t>
      </w:r>
    </w:p>
    <w:p w:rsidR="00566972" w:rsidRPr="000E08FB" w:rsidRDefault="00566972" w:rsidP="00990D8D">
      <w:pPr>
        <w:ind w:right="260"/>
        <w:jc w:val="both"/>
        <w:rPr>
          <w:rFonts w:ascii="Tahoma" w:hAnsi="Tahoma" w:cs="Tahoma"/>
          <w:sz w:val="20"/>
          <w:szCs w:val="20"/>
        </w:rPr>
      </w:pPr>
      <w:r w:rsidRPr="000E08FB">
        <w:rPr>
          <w:rFonts w:ascii="Tahoma" w:hAnsi="Tahoma" w:cs="Tahoma"/>
          <w:b/>
          <w:sz w:val="20"/>
          <w:szCs w:val="20"/>
        </w:rPr>
        <w:t>VI.4.1) Organismo responsabile delle procedure di ricorso:</w:t>
      </w:r>
      <w:r w:rsidRPr="000E08FB">
        <w:rPr>
          <w:rFonts w:ascii="Tahoma" w:hAnsi="Tahoma" w:cs="Tahoma"/>
          <w:sz w:val="20"/>
          <w:szCs w:val="20"/>
        </w:rPr>
        <w:t xml:space="preserve"> Tribunale Amministrativo Regionale </w:t>
      </w:r>
      <w:r w:rsidR="00750C56" w:rsidRPr="000E08FB">
        <w:rPr>
          <w:rFonts w:ascii="Tahoma" w:hAnsi="Tahoma" w:cs="Tahoma"/>
          <w:sz w:val="20"/>
          <w:szCs w:val="20"/>
        </w:rPr>
        <w:t>del Lazio</w:t>
      </w:r>
      <w:r w:rsidR="0034036A" w:rsidRPr="000E08FB">
        <w:rPr>
          <w:rFonts w:ascii="Tahoma" w:hAnsi="Tahoma" w:cs="Tahoma"/>
          <w:sz w:val="20"/>
          <w:szCs w:val="20"/>
        </w:rPr>
        <w:t>.</w:t>
      </w:r>
    </w:p>
    <w:p w:rsidR="00566972" w:rsidRPr="000E08FB" w:rsidRDefault="00566972" w:rsidP="00990D8D">
      <w:pPr>
        <w:ind w:right="260"/>
        <w:jc w:val="both"/>
        <w:rPr>
          <w:rFonts w:ascii="Tahoma" w:hAnsi="Tahoma" w:cs="Tahoma"/>
          <w:b/>
          <w:sz w:val="20"/>
          <w:szCs w:val="20"/>
        </w:rPr>
      </w:pPr>
      <w:r w:rsidRPr="000E08FB">
        <w:rPr>
          <w:rFonts w:ascii="Tahoma" w:hAnsi="Tahoma" w:cs="Tahoma"/>
          <w:b/>
          <w:sz w:val="20"/>
          <w:szCs w:val="20"/>
        </w:rPr>
        <w:t xml:space="preserve">VI.4.3) Procedura di ricorso: </w:t>
      </w:r>
      <w:r w:rsidRPr="000E08FB">
        <w:rPr>
          <w:rFonts w:ascii="Tahoma" w:hAnsi="Tahoma" w:cs="Tahoma"/>
          <w:sz w:val="20"/>
          <w:szCs w:val="20"/>
        </w:rPr>
        <w:t xml:space="preserve">Ai sensi dell’articolo 204 del </w:t>
      </w:r>
      <w:r w:rsidR="008074DA">
        <w:rPr>
          <w:rFonts w:ascii="Tahoma" w:hAnsi="Tahoma" w:cs="Tahoma"/>
          <w:sz w:val="20"/>
          <w:szCs w:val="20"/>
        </w:rPr>
        <w:t>D</w:t>
      </w:r>
      <w:r w:rsidRPr="000E08FB">
        <w:rPr>
          <w:rFonts w:ascii="Tahoma" w:hAnsi="Tahoma" w:cs="Tahoma"/>
          <w:sz w:val="20"/>
          <w:szCs w:val="20"/>
        </w:rPr>
        <w:t>.</w:t>
      </w:r>
      <w:r w:rsidR="008074DA">
        <w:rPr>
          <w:rFonts w:ascii="Tahoma" w:hAnsi="Tahoma" w:cs="Tahoma"/>
          <w:sz w:val="20"/>
          <w:szCs w:val="20"/>
        </w:rPr>
        <w:t>L</w:t>
      </w:r>
      <w:r w:rsidRPr="000E08FB">
        <w:rPr>
          <w:rFonts w:ascii="Tahoma" w:hAnsi="Tahoma" w:cs="Tahoma"/>
          <w:sz w:val="20"/>
          <w:szCs w:val="20"/>
        </w:rPr>
        <w:t>gs. 50/2016 e dell’art. 120 del D.Lgs. 104/2010 avverso il presente atto è ammesso ricorso entro il termine di 30 giorni dalla sua pubblicazione.</w:t>
      </w:r>
    </w:p>
    <w:p w:rsidR="00566972" w:rsidRPr="000E08FB" w:rsidRDefault="00566972" w:rsidP="00990D8D">
      <w:pPr>
        <w:ind w:right="260"/>
        <w:jc w:val="both"/>
        <w:rPr>
          <w:rFonts w:ascii="Tahoma" w:hAnsi="Tahoma" w:cs="Tahoma"/>
          <w:b/>
          <w:sz w:val="20"/>
          <w:szCs w:val="20"/>
        </w:rPr>
      </w:pPr>
      <w:r w:rsidRPr="000E08FB">
        <w:rPr>
          <w:rFonts w:ascii="Tahoma" w:hAnsi="Tahoma" w:cs="Tahoma"/>
          <w:b/>
          <w:sz w:val="20"/>
          <w:szCs w:val="20"/>
        </w:rPr>
        <w:t xml:space="preserve">VI.5) Spedizione avviso UPUUE: </w:t>
      </w:r>
      <w:r w:rsidR="006F4A41">
        <w:rPr>
          <w:rFonts w:ascii="Tahoma" w:hAnsi="Tahoma" w:cs="Tahoma"/>
          <w:b/>
          <w:sz w:val="20"/>
          <w:szCs w:val="20"/>
        </w:rPr>
        <w:t>30</w:t>
      </w:r>
      <w:r w:rsidR="005F392B">
        <w:rPr>
          <w:rFonts w:ascii="Tahoma" w:hAnsi="Tahoma" w:cs="Tahoma"/>
          <w:b/>
          <w:sz w:val="20"/>
          <w:szCs w:val="20"/>
        </w:rPr>
        <w:t>/07/2018</w:t>
      </w:r>
    </w:p>
    <w:p w:rsidR="00750C56" w:rsidRPr="000E08FB" w:rsidRDefault="00750C56" w:rsidP="00C77D09">
      <w:pPr>
        <w:spacing w:after="200"/>
        <w:ind w:right="260"/>
        <w:jc w:val="both"/>
        <w:rPr>
          <w:rFonts w:ascii="Tahoma" w:hAnsi="Tahoma" w:cs="Tahoma"/>
          <w:b/>
          <w:sz w:val="20"/>
          <w:szCs w:val="20"/>
        </w:rPr>
      </w:pPr>
    </w:p>
    <w:p w:rsidR="00DC4E35" w:rsidRPr="00DC4E35" w:rsidRDefault="00DC4E35" w:rsidP="00DC4E35">
      <w:pPr>
        <w:autoSpaceDE w:val="0"/>
        <w:autoSpaceDN w:val="0"/>
        <w:adjustRightInd w:val="0"/>
        <w:ind w:left="7090" w:right="260" w:firstLine="709"/>
        <w:jc w:val="both"/>
        <w:rPr>
          <w:rFonts w:ascii="Tahoma" w:hAnsi="Tahoma" w:cs="Tahoma"/>
          <w:b/>
          <w:sz w:val="20"/>
          <w:szCs w:val="20"/>
        </w:rPr>
      </w:pPr>
      <w:r w:rsidRPr="00DC4E35">
        <w:rPr>
          <w:rFonts w:ascii="Tahoma" w:hAnsi="Tahoma" w:cs="Tahoma"/>
          <w:b/>
          <w:sz w:val="20"/>
          <w:szCs w:val="20"/>
        </w:rPr>
        <w:t>Il Presidente</w:t>
      </w:r>
    </w:p>
    <w:p w:rsidR="00566972" w:rsidRPr="000E08FB" w:rsidRDefault="00DC4E35" w:rsidP="00DC4E35">
      <w:pPr>
        <w:autoSpaceDE w:val="0"/>
        <w:autoSpaceDN w:val="0"/>
        <w:adjustRightInd w:val="0"/>
        <w:ind w:left="7090" w:right="260"/>
        <w:jc w:val="both"/>
        <w:rPr>
          <w:rFonts w:ascii="Tahoma" w:hAnsi="Tahoma" w:cs="Tahoma"/>
          <w:sz w:val="20"/>
          <w:szCs w:val="20"/>
        </w:rPr>
      </w:pPr>
      <w:r>
        <w:rPr>
          <w:rFonts w:ascii="Tahoma" w:hAnsi="Tahoma" w:cs="Tahoma"/>
          <w:b/>
          <w:sz w:val="20"/>
          <w:szCs w:val="20"/>
        </w:rPr>
        <w:t xml:space="preserve">          </w:t>
      </w:r>
      <w:r w:rsidRPr="00DC4E35">
        <w:rPr>
          <w:rFonts w:ascii="Tahoma" w:hAnsi="Tahoma" w:cs="Tahoma"/>
          <w:b/>
          <w:sz w:val="20"/>
          <w:szCs w:val="20"/>
        </w:rPr>
        <w:t>Walter Anedda</w:t>
      </w:r>
    </w:p>
    <w:p w:rsidR="00566972" w:rsidRPr="000E08FB" w:rsidRDefault="00566972" w:rsidP="00C77D09">
      <w:pPr>
        <w:autoSpaceDE w:val="0"/>
        <w:ind w:right="260"/>
        <w:rPr>
          <w:rFonts w:ascii="Tahoma" w:hAnsi="Tahoma" w:cs="Tahoma"/>
          <w:sz w:val="20"/>
          <w:szCs w:val="20"/>
        </w:rPr>
      </w:pPr>
    </w:p>
    <w:p w:rsidR="00BE702E" w:rsidRPr="000E08FB" w:rsidRDefault="00BE702E" w:rsidP="00C77D09">
      <w:pPr>
        <w:autoSpaceDE w:val="0"/>
        <w:autoSpaceDN w:val="0"/>
        <w:adjustRightInd w:val="0"/>
        <w:ind w:left="1701" w:right="260" w:hanging="708"/>
        <w:jc w:val="both"/>
        <w:rPr>
          <w:rFonts w:ascii="Tahoma" w:hAnsi="Tahoma" w:cs="Tahoma"/>
          <w:b/>
          <w:sz w:val="20"/>
          <w:szCs w:val="20"/>
        </w:rPr>
      </w:pPr>
    </w:p>
    <w:p w:rsidR="00BE702E" w:rsidRPr="000E08FB" w:rsidRDefault="00BE702E" w:rsidP="00BE702E">
      <w:pPr>
        <w:pStyle w:val="Rientrocorpodeltesto3"/>
        <w:ind w:left="1701"/>
        <w:jc w:val="both"/>
        <w:rPr>
          <w:rFonts w:ascii="Tahoma" w:hAnsi="Tahoma" w:cs="Tahoma"/>
          <w:sz w:val="20"/>
          <w:szCs w:val="20"/>
        </w:rPr>
      </w:pPr>
    </w:p>
    <w:sectPr w:rsidR="00BE702E" w:rsidRPr="000E08FB" w:rsidSect="00C77D09">
      <w:headerReference w:type="default" r:id="rId18"/>
      <w:pgSz w:w="11906" w:h="16838"/>
      <w:pgMar w:top="2552" w:right="720" w:bottom="1134" w:left="720" w:header="425"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6CB" w:rsidRDefault="003A56CB" w:rsidP="00443D4A">
      <w:r>
        <w:separator/>
      </w:r>
    </w:p>
  </w:endnote>
  <w:endnote w:type="continuationSeparator" w:id="0">
    <w:p w:rsidR="003A56CB" w:rsidRDefault="003A56CB" w:rsidP="0044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DYHR R+ Palatino">
    <w:altName w:val="Book Antiqu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6CB" w:rsidRDefault="003A56CB" w:rsidP="00443D4A">
      <w:r>
        <w:separator/>
      </w:r>
    </w:p>
  </w:footnote>
  <w:footnote w:type="continuationSeparator" w:id="0">
    <w:p w:rsidR="003A56CB" w:rsidRDefault="003A56CB" w:rsidP="00443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6DB" w:rsidRDefault="00B546DB">
    <w:pPr>
      <w:pStyle w:val="Intestazione"/>
    </w:pPr>
  </w:p>
  <w:p w:rsidR="00B546DB" w:rsidRDefault="00B63189">
    <w:pPr>
      <w:pStyle w:val="Intestazione"/>
    </w:pPr>
    <w:r>
      <w:rPr>
        <w:noProof/>
        <w:lang w:eastAsia="it-IT"/>
      </w:rPr>
      <mc:AlternateContent>
        <mc:Choice Requires="wps">
          <w:drawing>
            <wp:anchor distT="4294967295" distB="4294967295" distL="114300" distR="114300" simplePos="0" relativeHeight="251664384" behindDoc="0" locked="0" layoutInCell="1" allowOverlap="1" wp14:anchorId="4233DD09" wp14:editId="5AB37058">
              <wp:simplePos x="0" y="0"/>
              <wp:positionH relativeFrom="column">
                <wp:posOffset>1086485</wp:posOffset>
              </wp:positionH>
              <wp:positionV relativeFrom="paragraph">
                <wp:posOffset>574674</wp:posOffset>
              </wp:positionV>
              <wp:extent cx="6023610" cy="0"/>
              <wp:effectExtent l="0" t="19050" r="15240" b="1905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3610" cy="0"/>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51EE6A" id="Connettore 1 1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55pt,45.25pt" to="559.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" strokecolor="#00664a" strokeweight="3pt">
              <o:lock v:ext="edit" shapetype="f"/>
            </v:line>
          </w:pict>
        </mc:Fallback>
      </mc:AlternateContent>
    </w:r>
    <w:r>
      <w:rPr>
        <w:noProof/>
        <w:lang w:eastAsia="it-IT"/>
      </w:rPr>
      <mc:AlternateContent>
        <mc:Choice Requires="wps">
          <w:drawing>
            <wp:anchor distT="4294967295" distB="4294967295" distL="114300" distR="114300" simplePos="0" relativeHeight="251665408" behindDoc="0" locked="0" layoutInCell="1" allowOverlap="1" wp14:anchorId="30E9C426" wp14:editId="1316BA07">
              <wp:simplePos x="0" y="0"/>
              <wp:positionH relativeFrom="column">
                <wp:posOffset>-439420</wp:posOffset>
              </wp:positionH>
              <wp:positionV relativeFrom="paragraph">
                <wp:posOffset>574674</wp:posOffset>
              </wp:positionV>
              <wp:extent cx="387985" cy="0"/>
              <wp:effectExtent l="0" t="19050" r="12065" b="19050"/>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985" cy="0"/>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22F4C5" id="Connettore 1 1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6pt,45.25pt" to="-4.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" strokecolor="#00664a" strokeweight="3pt">
              <o:lock v:ext="edit" shapetype="f"/>
            </v:line>
          </w:pict>
        </mc:Fallback>
      </mc:AlternateContent>
    </w:r>
    <w:r w:rsidR="00B546DB">
      <w:rPr>
        <w:noProof/>
        <w:lang w:eastAsia="it-IT"/>
      </w:rPr>
      <w:drawing>
        <wp:inline distT="0" distB="0" distL="0" distR="0" wp14:anchorId="69EB584F" wp14:editId="04A7D0A1">
          <wp:extent cx="1037230" cy="875472"/>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030" cy="8820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6F2EC08E"/>
    <w:name w:val="WW8Num2"/>
    <w:lvl w:ilvl="0">
      <w:start w:val="1"/>
      <w:numFmt w:val="lowerLetter"/>
      <w:lvlText w:val="%1)"/>
      <w:lvlJc w:val="left"/>
      <w:pPr>
        <w:tabs>
          <w:tab w:val="num" w:pos="0"/>
        </w:tabs>
        <w:ind w:left="284" w:hanging="284"/>
      </w:pPr>
      <w:rPr>
        <w:rFonts w:ascii="Symbol" w:hAnsi="Symbol" w:cs="Symbol" w:hint="default"/>
      </w:rPr>
    </w:lvl>
    <w:lvl w:ilvl="1">
      <w:start w:val="1"/>
      <w:numFmt w:val="lowerLetter"/>
      <w:lvlText w:val="%2."/>
      <w:lvlJc w:val="left"/>
      <w:pPr>
        <w:tabs>
          <w:tab w:val="num" w:pos="372"/>
        </w:tabs>
        <w:ind w:left="372" w:hanging="360"/>
      </w:pPr>
      <w:rPr>
        <w:rFonts w:cs="Times New Roman" w:hint="default"/>
      </w:rPr>
    </w:lvl>
    <w:lvl w:ilvl="2">
      <w:start w:val="1"/>
      <w:numFmt w:val="lowerRoman"/>
      <w:lvlText w:val="%3."/>
      <w:lvlJc w:val="left"/>
      <w:pPr>
        <w:tabs>
          <w:tab w:val="num" w:pos="1092"/>
        </w:tabs>
        <w:ind w:left="1092" w:hanging="180"/>
      </w:pPr>
      <w:rPr>
        <w:rFonts w:cs="Times New Roman" w:hint="default"/>
      </w:rPr>
    </w:lvl>
    <w:lvl w:ilvl="3">
      <w:start w:val="1"/>
      <w:numFmt w:val="decimal"/>
      <w:lvlText w:val="%4."/>
      <w:lvlJc w:val="left"/>
      <w:pPr>
        <w:tabs>
          <w:tab w:val="num" w:pos="1812"/>
        </w:tabs>
        <w:ind w:left="1812" w:hanging="360"/>
      </w:pPr>
      <w:rPr>
        <w:rFonts w:cs="Times New Roman" w:hint="default"/>
      </w:rPr>
    </w:lvl>
    <w:lvl w:ilvl="4">
      <w:start w:val="1"/>
      <w:numFmt w:val="lowerLetter"/>
      <w:lvlText w:val="%5."/>
      <w:lvlJc w:val="left"/>
      <w:pPr>
        <w:tabs>
          <w:tab w:val="num" w:pos="2532"/>
        </w:tabs>
        <w:ind w:left="2532" w:hanging="360"/>
      </w:pPr>
      <w:rPr>
        <w:rFonts w:cs="Times New Roman" w:hint="default"/>
      </w:rPr>
    </w:lvl>
    <w:lvl w:ilvl="5">
      <w:start w:val="1"/>
      <w:numFmt w:val="lowerRoman"/>
      <w:lvlText w:val="%6."/>
      <w:lvlJc w:val="left"/>
      <w:pPr>
        <w:tabs>
          <w:tab w:val="num" w:pos="3252"/>
        </w:tabs>
        <w:ind w:left="3252" w:hanging="180"/>
      </w:pPr>
      <w:rPr>
        <w:rFonts w:cs="Times New Roman" w:hint="default"/>
      </w:rPr>
    </w:lvl>
    <w:lvl w:ilvl="6">
      <w:start w:val="1"/>
      <w:numFmt w:val="decimal"/>
      <w:lvlText w:val="%7."/>
      <w:lvlJc w:val="left"/>
      <w:pPr>
        <w:tabs>
          <w:tab w:val="num" w:pos="3972"/>
        </w:tabs>
        <w:ind w:left="3972" w:hanging="360"/>
      </w:pPr>
      <w:rPr>
        <w:rFonts w:cs="Times New Roman" w:hint="default"/>
      </w:rPr>
    </w:lvl>
    <w:lvl w:ilvl="7">
      <w:start w:val="1"/>
      <w:numFmt w:val="lowerLetter"/>
      <w:lvlText w:val="%8."/>
      <w:lvlJc w:val="left"/>
      <w:pPr>
        <w:tabs>
          <w:tab w:val="num" w:pos="4692"/>
        </w:tabs>
        <w:ind w:left="4692" w:hanging="360"/>
      </w:pPr>
      <w:rPr>
        <w:rFonts w:cs="Times New Roman" w:hint="default"/>
      </w:rPr>
    </w:lvl>
    <w:lvl w:ilvl="8">
      <w:start w:val="1"/>
      <w:numFmt w:val="lowerRoman"/>
      <w:lvlText w:val="%9."/>
      <w:lvlJc w:val="left"/>
      <w:pPr>
        <w:tabs>
          <w:tab w:val="num" w:pos="5412"/>
        </w:tabs>
        <w:ind w:left="5412" w:hanging="180"/>
      </w:pPr>
      <w:rPr>
        <w:rFonts w:cs="Times New Roman" w:hint="default"/>
      </w:rPr>
    </w:lvl>
  </w:abstractNum>
  <w:abstractNum w:abstractNumId="1" w15:restartNumberingAfterBreak="0">
    <w:nsid w:val="003A55A9"/>
    <w:multiLevelType w:val="hybridMultilevel"/>
    <w:tmpl w:val="758AB962"/>
    <w:lvl w:ilvl="0" w:tplc="11D44310">
      <w:start w:val="1"/>
      <w:numFmt w:val="lowerLetter"/>
      <w:lvlText w:val="%1)"/>
      <w:lvlJc w:val="left"/>
      <w:pPr>
        <w:ind w:left="1778" w:hanging="360"/>
      </w:pPr>
      <w:rPr>
        <w:rFonts w:hint="default"/>
        <w:sz w:val="22"/>
        <w:szCs w:val="22"/>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 w15:restartNumberingAfterBreak="0">
    <w:nsid w:val="0DB75B75"/>
    <w:multiLevelType w:val="hybridMultilevel"/>
    <w:tmpl w:val="5D9A4C08"/>
    <w:lvl w:ilvl="0" w:tplc="E9CCFA1A">
      <w:start w:val="1"/>
      <w:numFmt w:val="lowerLetter"/>
      <w:lvlText w:val="%1)"/>
      <w:lvlJc w:val="left"/>
      <w:pPr>
        <w:ind w:left="1920" w:hanging="36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3" w15:restartNumberingAfterBreak="0">
    <w:nsid w:val="22C33AE7"/>
    <w:multiLevelType w:val="hybridMultilevel"/>
    <w:tmpl w:val="8F0EA7EE"/>
    <w:lvl w:ilvl="0" w:tplc="FFFFFFFF">
      <w:start w:val="1"/>
      <w:numFmt w:val="decimal"/>
      <w:lvlText w:val="%1."/>
      <w:lvlJc w:val="left"/>
      <w:pPr>
        <w:ind w:left="937" w:hanging="360"/>
      </w:pPr>
      <w:rPr>
        <w:rFonts w:hint="default"/>
      </w:rPr>
    </w:lvl>
    <w:lvl w:ilvl="1" w:tplc="FFFFFFFF">
      <w:start w:val="1"/>
      <w:numFmt w:val="lowerLetter"/>
      <w:lvlText w:val="%2."/>
      <w:lvlJc w:val="left"/>
      <w:pPr>
        <w:ind w:left="1657" w:hanging="360"/>
      </w:pPr>
    </w:lvl>
    <w:lvl w:ilvl="2" w:tplc="FFFFFFFF" w:tentative="1">
      <w:start w:val="1"/>
      <w:numFmt w:val="lowerRoman"/>
      <w:lvlText w:val="%3."/>
      <w:lvlJc w:val="right"/>
      <w:pPr>
        <w:ind w:left="2377" w:hanging="180"/>
      </w:pPr>
    </w:lvl>
    <w:lvl w:ilvl="3" w:tplc="FFFFFFFF" w:tentative="1">
      <w:start w:val="1"/>
      <w:numFmt w:val="decimal"/>
      <w:lvlText w:val="%4."/>
      <w:lvlJc w:val="left"/>
      <w:pPr>
        <w:ind w:left="3097" w:hanging="360"/>
      </w:pPr>
    </w:lvl>
    <w:lvl w:ilvl="4" w:tplc="FFFFFFFF" w:tentative="1">
      <w:start w:val="1"/>
      <w:numFmt w:val="lowerLetter"/>
      <w:lvlText w:val="%5."/>
      <w:lvlJc w:val="left"/>
      <w:pPr>
        <w:ind w:left="3817" w:hanging="360"/>
      </w:pPr>
    </w:lvl>
    <w:lvl w:ilvl="5" w:tplc="FFFFFFFF" w:tentative="1">
      <w:start w:val="1"/>
      <w:numFmt w:val="lowerRoman"/>
      <w:lvlText w:val="%6."/>
      <w:lvlJc w:val="right"/>
      <w:pPr>
        <w:ind w:left="4537" w:hanging="180"/>
      </w:pPr>
    </w:lvl>
    <w:lvl w:ilvl="6" w:tplc="FFFFFFFF" w:tentative="1">
      <w:start w:val="1"/>
      <w:numFmt w:val="decimal"/>
      <w:lvlText w:val="%7."/>
      <w:lvlJc w:val="left"/>
      <w:pPr>
        <w:ind w:left="5257" w:hanging="360"/>
      </w:pPr>
    </w:lvl>
    <w:lvl w:ilvl="7" w:tplc="FFFFFFFF" w:tentative="1">
      <w:start w:val="1"/>
      <w:numFmt w:val="lowerLetter"/>
      <w:lvlText w:val="%8."/>
      <w:lvlJc w:val="left"/>
      <w:pPr>
        <w:ind w:left="5977" w:hanging="360"/>
      </w:pPr>
    </w:lvl>
    <w:lvl w:ilvl="8" w:tplc="FFFFFFFF" w:tentative="1">
      <w:start w:val="1"/>
      <w:numFmt w:val="lowerRoman"/>
      <w:lvlText w:val="%9."/>
      <w:lvlJc w:val="right"/>
      <w:pPr>
        <w:ind w:left="6697" w:hanging="180"/>
      </w:pPr>
    </w:lvl>
  </w:abstractNum>
  <w:abstractNum w:abstractNumId="4"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F1542F"/>
    <w:multiLevelType w:val="hybridMultilevel"/>
    <w:tmpl w:val="A1E456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5F0D7A"/>
    <w:multiLevelType w:val="hybridMultilevel"/>
    <w:tmpl w:val="7EE237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176015"/>
    <w:multiLevelType w:val="hybridMultilevel"/>
    <w:tmpl w:val="7AAA345A"/>
    <w:lvl w:ilvl="0" w:tplc="D03E9404">
      <w:start w:val="1"/>
      <w:numFmt w:val="lowerLetter"/>
      <w:lvlText w:val="%1)"/>
      <w:lvlJc w:val="left"/>
      <w:pPr>
        <w:ind w:left="1440" w:hanging="360"/>
      </w:pPr>
      <w:rPr>
        <w:i/>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39FE173D"/>
    <w:multiLevelType w:val="multilevel"/>
    <w:tmpl w:val="853490AC"/>
    <w:lvl w:ilvl="0">
      <w:start w:val="1"/>
      <w:numFmt w:val="decimal"/>
      <w:lvlText w:val="%1."/>
      <w:lvlJc w:val="right"/>
      <w:pPr>
        <w:ind w:left="705" w:hanging="705"/>
      </w:pPr>
      <w:rPr>
        <w:rFonts w:ascii="Calibri" w:eastAsia="Calibri" w:hAnsi="Calibri" w:cs="Arial"/>
        <w:b/>
        <w:i w:val="0"/>
        <w:color w:val="002060"/>
        <w:sz w:val="24"/>
        <w:szCs w:val="24"/>
        <w:u w:val="none"/>
      </w:rPr>
    </w:lvl>
    <w:lvl w:ilvl="1">
      <w:start w:val="1"/>
      <w:numFmt w:val="decimal"/>
      <w:isLgl/>
      <w:lvlText w:val="%1.%2"/>
      <w:lvlJc w:val="left"/>
      <w:pPr>
        <w:ind w:left="928" w:hanging="360"/>
      </w:pPr>
      <w:rPr>
        <w:rFonts w:ascii="Calibri" w:hAnsi="Calibri" w:hint="default"/>
        <w:b/>
        <w:i w:val="0"/>
        <w:strike w:val="0"/>
        <w:color w:val="000099"/>
        <w:sz w:val="22"/>
        <w:szCs w:val="22"/>
        <w:lang w:val="it-IT"/>
      </w:rPr>
    </w:lvl>
    <w:lvl w:ilvl="2">
      <w:start w:val="1"/>
      <w:numFmt w:val="decimal"/>
      <w:isLgl/>
      <w:lvlText w:val="%1.%2.%3"/>
      <w:lvlJc w:val="left"/>
      <w:pPr>
        <w:ind w:left="1080" w:hanging="720"/>
      </w:pPr>
      <w:rPr>
        <w:rFonts w:ascii="Calibri" w:hAnsi="Calibri" w:hint="default"/>
        <w:b/>
        <w:i w:val="0"/>
        <w:color w:val="auto"/>
        <w:sz w:val="22"/>
        <w:szCs w:val="22"/>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1800" w:hanging="1440"/>
      </w:pPr>
      <w:rPr>
        <w:rFonts w:hint="default"/>
        <w:b/>
        <w:i w:val="0"/>
      </w:rPr>
    </w:lvl>
  </w:abstractNum>
  <w:abstractNum w:abstractNumId="9" w15:restartNumberingAfterBreak="0">
    <w:nsid w:val="3F752498"/>
    <w:multiLevelType w:val="hybridMultilevel"/>
    <w:tmpl w:val="AE9E5710"/>
    <w:lvl w:ilvl="0" w:tplc="B4EEA45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402363"/>
    <w:multiLevelType w:val="hybridMultilevel"/>
    <w:tmpl w:val="315CE9DE"/>
    <w:lvl w:ilvl="0" w:tplc="8514C06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66842A3"/>
    <w:multiLevelType w:val="hybridMultilevel"/>
    <w:tmpl w:val="4EEE98A8"/>
    <w:lvl w:ilvl="0" w:tplc="0410000D">
      <w:start w:val="1"/>
      <w:numFmt w:val="bullet"/>
      <w:lvlText w:val=""/>
      <w:lvlJc w:val="left"/>
      <w:pPr>
        <w:ind w:left="928"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4F6468"/>
    <w:multiLevelType w:val="hybridMultilevel"/>
    <w:tmpl w:val="8F0EA7EE"/>
    <w:lvl w:ilvl="0" w:tplc="FFFFFFFF">
      <w:start w:val="1"/>
      <w:numFmt w:val="decimal"/>
      <w:lvlText w:val="%1."/>
      <w:lvlJc w:val="left"/>
      <w:pPr>
        <w:ind w:left="937" w:hanging="360"/>
      </w:pPr>
      <w:rPr>
        <w:rFonts w:hint="default"/>
      </w:rPr>
    </w:lvl>
    <w:lvl w:ilvl="1" w:tplc="FFFFFFFF">
      <w:start w:val="1"/>
      <w:numFmt w:val="lowerLetter"/>
      <w:lvlText w:val="%2."/>
      <w:lvlJc w:val="left"/>
      <w:pPr>
        <w:ind w:left="1657" w:hanging="360"/>
      </w:pPr>
    </w:lvl>
    <w:lvl w:ilvl="2" w:tplc="FFFFFFFF" w:tentative="1">
      <w:start w:val="1"/>
      <w:numFmt w:val="lowerRoman"/>
      <w:lvlText w:val="%3."/>
      <w:lvlJc w:val="right"/>
      <w:pPr>
        <w:ind w:left="2377" w:hanging="180"/>
      </w:pPr>
    </w:lvl>
    <w:lvl w:ilvl="3" w:tplc="FFFFFFFF" w:tentative="1">
      <w:start w:val="1"/>
      <w:numFmt w:val="decimal"/>
      <w:lvlText w:val="%4."/>
      <w:lvlJc w:val="left"/>
      <w:pPr>
        <w:ind w:left="3097" w:hanging="360"/>
      </w:pPr>
    </w:lvl>
    <w:lvl w:ilvl="4" w:tplc="FFFFFFFF" w:tentative="1">
      <w:start w:val="1"/>
      <w:numFmt w:val="lowerLetter"/>
      <w:lvlText w:val="%5."/>
      <w:lvlJc w:val="left"/>
      <w:pPr>
        <w:ind w:left="3817" w:hanging="360"/>
      </w:pPr>
    </w:lvl>
    <w:lvl w:ilvl="5" w:tplc="FFFFFFFF" w:tentative="1">
      <w:start w:val="1"/>
      <w:numFmt w:val="lowerRoman"/>
      <w:lvlText w:val="%6."/>
      <w:lvlJc w:val="right"/>
      <w:pPr>
        <w:ind w:left="4537" w:hanging="180"/>
      </w:pPr>
    </w:lvl>
    <w:lvl w:ilvl="6" w:tplc="FFFFFFFF" w:tentative="1">
      <w:start w:val="1"/>
      <w:numFmt w:val="decimal"/>
      <w:lvlText w:val="%7."/>
      <w:lvlJc w:val="left"/>
      <w:pPr>
        <w:ind w:left="5257" w:hanging="360"/>
      </w:pPr>
    </w:lvl>
    <w:lvl w:ilvl="7" w:tplc="FFFFFFFF" w:tentative="1">
      <w:start w:val="1"/>
      <w:numFmt w:val="lowerLetter"/>
      <w:lvlText w:val="%8."/>
      <w:lvlJc w:val="left"/>
      <w:pPr>
        <w:ind w:left="5977" w:hanging="360"/>
      </w:pPr>
    </w:lvl>
    <w:lvl w:ilvl="8" w:tplc="FFFFFFFF" w:tentative="1">
      <w:start w:val="1"/>
      <w:numFmt w:val="lowerRoman"/>
      <w:lvlText w:val="%9."/>
      <w:lvlJc w:val="right"/>
      <w:pPr>
        <w:ind w:left="6697" w:hanging="180"/>
      </w:pPr>
    </w:lvl>
  </w:abstractNum>
  <w:abstractNum w:abstractNumId="13" w15:restartNumberingAfterBreak="0">
    <w:nsid w:val="501202AF"/>
    <w:multiLevelType w:val="hybridMultilevel"/>
    <w:tmpl w:val="962A6370"/>
    <w:lvl w:ilvl="0" w:tplc="1B201FD6">
      <w:start w:val="1"/>
      <w:numFmt w:val="lowerLetter"/>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14" w15:restartNumberingAfterBreak="0">
    <w:nsid w:val="51697622"/>
    <w:multiLevelType w:val="multilevel"/>
    <w:tmpl w:val="86A25CE0"/>
    <w:lvl w:ilvl="0">
      <w:start w:val="1"/>
      <w:numFmt w:val="decimal"/>
      <w:lvlText w:val="%1."/>
      <w:lvlJc w:val="left"/>
      <w:pPr>
        <w:ind w:left="720" w:hanging="360"/>
      </w:pPr>
      <w:rPr>
        <w:rFonts w:hint="default"/>
        <w:b/>
        <w:i w:val="0"/>
        <w:color w:val="17365D" w:themeColor="text2" w:themeShade="BF"/>
        <w:sz w:val="22"/>
        <w:szCs w:val="22"/>
      </w:rPr>
    </w:lvl>
    <w:lvl w:ilvl="1">
      <w:start w:val="1"/>
      <w:numFmt w:val="decimal"/>
      <w:isLgl/>
      <w:lvlText w:val="%1.%2"/>
      <w:lvlJc w:val="left"/>
      <w:pPr>
        <w:ind w:left="1080" w:hanging="360"/>
      </w:pPr>
      <w:rPr>
        <w:rFonts w:asciiTheme="minorHAnsi" w:hAnsiTheme="minorHAnsi" w:cs="Arial" w:hint="default"/>
        <w:b/>
        <w:i w:val="0"/>
        <w:color w:val="auto"/>
        <w:sz w:val="22"/>
        <w:szCs w:val="22"/>
      </w:rPr>
    </w:lvl>
    <w:lvl w:ilvl="2">
      <w:start w:val="1"/>
      <w:numFmt w:val="decimal"/>
      <w:isLgl/>
      <w:lvlText w:val="%1.%2.%3"/>
      <w:lvlJc w:val="left"/>
      <w:pPr>
        <w:ind w:left="1800" w:hanging="720"/>
      </w:pPr>
      <w:rPr>
        <w:rFonts w:asciiTheme="minorHAnsi" w:hAnsiTheme="minorHAnsi" w:cs="Arial" w:hint="default"/>
        <w:b/>
        <w:i/>
        <w:color w:val="auto"/>
        <w:sz w:val="21"/>
        <w:szCs w:val="21"/>
      </w:rPr>
    </w:lvl>
    <w:lvl w:ilvl="3">
      <w:start w:val="1"/>
      <w:numFmt w:val="decimal"/>
      <w:isLgl/>
      <w:lvlText w:val="%1.%2.%3.%4"/>
      <w:lvlJc w:val="left"/>
      <w:pPr>
        <w:ind w:left="2160" w:hanging="720"/>
      </w:pPr>
      <w:rPr>
        <w:rFonts w:cs="Arial" w:hint="default"/>
        <w:b/>
        <w:i/>
        <w:color w:val="002060"/>
      </w:rPr>
    </w:lvl>
    <w:lvl w:ilvl="4">
      <w:start w:val="1"/>
      <w:numFmt w:val="decimal"/>
      <w:isLgl/>
      <w:lvlText w:val="%1.%2.%3.%4.%5"/>
      <w:lvlJc w:val="left"/>
      <w:pPr>
        <w:ind w:left="2880" w:hanging="1080"/>
      </w:pPr>
      <w:rPr>
        <w:rFonts w:cs="Arial" w:hint="default"/>
        <w:b/>
        <w:i/>
        <w:color w:val="002060"/>
      </w:rPr>
    </w:lvl>
    <w:lvl w:ilvl="5">
      <w:start w:val="1"/>
      <w:numFmt w:val="decimal"/>
      <w:isLgl/>
      <w:lvlText w:val="%1.%2.%3.%4.%5.%6"/>
      <w:lvlJc w:val="left"/>
      <w:pPr>
        <w:ind w:left="3240" w:hanging="1080"/>
      </w:pPr>
      <w:rPr>
        <w:rFonts w:cs="Arial" w:hint="default"/>
        <w:b/>
        <w:i/>
        <w:color w:val="002060"/>
      </w:rPr>
    </w:lvl>
    <w:lvl w:ilvl="6">
      <w:start w:val="1"/>
      <w:numFmt w:val="decimal"/>
      <w:isLgl/>
      <w:lvlText w:val="%1.%2.%3.%4.%5.%6.%7"/>
      <w:lvlJc w:val="left"/>
      <w:pPr>
        <w:ind w:left="3960" w:hanging="1440"/>
      </w:pPr>
      <w:rPr>
        <w:rFonts w:cs="Arial" w:hint="default"/>
        <w:b/>
        <w:i/>
        <w:color w:val="002060"/>
      </w:rPr>
    </w:lvl>
    <w:lvl w:ilvl="7">
      <w:start w:val="1"/>
      <w:numFmt w:val="decimal"/>
      <w:isLgl/>
      <w:lvlText w:val="%1.%2.%3.%4.%5.%6.%7.%8"/>
      <w:lvlJc w:val="left"/>
      <w:pPr>
        <w:ind w:left="4320" w:hanging="1440"/>
      </w:pPr>
      <w:rPr>
        <w:rFonts w:cs="Arial" w:hint="default"/>
        <w:b/>
        <w:i/>
        <w:color w:val="002060"/>
      </w:rPr>
    </w:lvl>
    <w:lvl w:ilvl="8">
      <w:start w:val="1"/>
      <w:numFmt w:val="decimal"/>
      <w:isLgl/>
      <w:lvlText w:val="%1.%2.%3.%4.%5.%6.%7.%8.%9"/>
      <w:lvlJc w:val="left"/>
      <w:pPr>
        <w:ind w:left="4680" w:hanging="1440"/>
      </w:pPr>
      <w:rPr>
        <w:rFonts w:cs="Arial" w:hint="default"/>
        <w:b/>
        <w:i/>
        <w:color w:val="002060"/>
      </w:rPr>
    </w:lvl>
  </w:abstractNum>
  <w:abstractNum w:abstractNumId="15" w15:restartNumberingAfterBreak="0">
    <w:nsid w:val="526708C0"/>
    <w:multiLevelType w:val="hybridMultilevel"/>
    <w:tmpl w:val="D676ED2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7104BC"/>
    <w:multiLevelType w:val="hybridMultilevel"/>
    <w:tmpl w:val="6BC006FE"/>
    <w:lvl w:ilvl="0" w:tplc="9B245310">
      <w:start w:val="1"/>
      <w:numFmt w:val="lowerLetter"/>
      <w:lvlText w:val="%1)"/>
      <w:lvlJc w:val="left"/>
      <w:pPr>
        <w:ind w:left="720" w:hanging="360"/>
      </w:pPr>
      <w:rPr>
        <w:rFonts w:hint="default"/>
        <w:b/>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CE7453B"/>
    <w:multiLevelType w:val="hybridMultilevel"/>
    <w:tmpl w:val="8F0EA7EE"/>
    <w:lvl w:ilvl="0" w:tplc="FFFFFFFF">
      <w:start w:val="1"/>
      <w:numFmt w:val="decimal"/>
      <w:lvlText w:val="%1."/>
      <w:lvlJc w:val="left"/>
      <w:pPr>
        <w:ind w:left="937" w:hanging="360"/>
      </w:pPr>
      <w:rPr>
        <w:rFonts w:hint="default"/>
      </w:rPr>
    </w:lvl>
    <w:lvl w:ilvl="1" w:tplc="FFFFFFFF">
      <w:start w:val="1"/>
      <w:numFmt w:val="lowerLetter"/>
      <w:lvlText w:val="%2."/>
      <w:lvlJc w:val="left"/>
      <w:pPr>
        <w:ind w:left="1657" w:hanging="360"/>
      </w:pPr>
    </w:lvl>
    <w:lvl w:ilvl="2" w:tplc="FFFFFFFF" w:tentative="1">
      <w:start w:val="1"/>
      <w:numFmt w:val="lowerRoman"/>
      <w:lvlText w:val="%3."/>
      <w:lvlJc w:val="right"/>
      <w:pPr>
        <w:ind w:left="2377" w:hanging="180"/>
      </w:pPr>
    </w:lvl>
    <w:lvl w:ilvl="3" w:tplc="FFFFFFFF" w:tentative="1">
      <w:start w:val="1"/>
      <w:numFmt w:val="decimal"/>
      <w:lvlText w:val="%4."/>
      <w:lvlJc w:val="left"/>
      <w:pPr>
        <w:ind w:left="3097" w:hanging="360"/>
      </w:pPr>
    </w:lvl>
    <w:lvl w:ilvl="4" w:tplc="FFFFFFFF" w:tentative="1">
      <w:start w:val="1"/>
      <w:numFmt w:val="lowerLetter"/>
      <w:lvlText w:val="%5."/>
      <w:lvlJc w:val="left"/>
      <w:pPr>
        <w:ind w:left="3817" w:hanging="360"/>
      </w:pPr>
    </w:lvl>
    <w:lvl w:ilvl="5" w:tplc="FFFFFFFF" w:tentative="1">
      <w:start w:val="1"/>
      <w:numFmt w:val="lowerRoman"/>
      <w:lvlText w:val="%6."/>
      <w:lvlJc w:val="right"/>
      <w:pPr>
        <w:ind w:left="4537" w:hanging="180"/>
      </w:pPr>
    </w:lvl>
    <w:lvl w:ilvl="6" w:tplc="FFFFFFFF" w:tentative="1">
      <w:start w:val="1"/>
      <w:numFmt w:val="decimal"/>
      <w:lvlText w:val="%7."/>
      <w:lvlJc w:val="left"/>
      <w:pPr>
        <w:ind w:left="5257" w:hanging="360"/>
      </w:pPr>
    </w:lvl>
    <w:lvl w:ilvl="7" w:tplc="FFFFFFFF" w:tentative="1">
      <w:start w:val="1"/>
      <w:numFmt w:val="lowerLetter"/>
      <w:lvlText w:val="%8."/>
      <w:lvlJc w:val="left"/>
      <w:pPr>
        <w:ind w:left="5977" w:hanging="360"/>
      </w:pPr>
    </w:lvl>
    <w:lvl w:ilvl="8" w:tplc="FFFFFFFF" w:tentative="1">
      <w:start w:val="1"/>
      <w:numFmt w:val="lowerRoman"/>
      <w:lvlText w:val="%9."/>
      <w:lvlJc w:val="right"/>
      <w:pPr>
        <w:ind w:left="6697" w:hanging="180"/>
      </w:pPr>
    </w:lvl>
  </w:abstractNum>
  <w:abstractNum w:abstractNumId="18" w15:restartNumberingAfterBreak="0">
    <w:nsid w:val="63EE6252"/>
    <w:multiLevelType w:val="hybridMultilevel"/>
    <w:tmpl w:val="5F026564"/>
    <w:lvl w:ilvl="0" w:tplc="04100017">
      <w:start w:val="1"/>
      <w:numFmt w:val="lowerLetter"/>
      <w:lvlText w:val="%1)"/>
      <w:lvlJc w:val="left"/>
      <w:pPr>
        <w:ind w:left="1778"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4FA1E6A"/>
    <w:multiLevelType w:val="hybridMultilevel"/>
    <w:tmpl w:val="2CDEB228"/>
    <w:lvl w:ilvl="0" w:tplc="29AC049A">
      <w:start w:val="1"/>
      <w:numFmt w:val="lowerLetter"/>
      <w:lvlText w:val="%1)"/>
      <w:lvlJc w:val="left"/>
      <w:pPr>
        <w:ind w:left="2280" w:hanging="360"/>
      </w:pPr>
      <w:rPr>
        <w:rFonts w:asciiTheme="minorHAnsi" w:eastAsiaTheme="minorHAnsi" w:hAnsiTheme="minorHAnsi" w:cs="Trebuchet MS"/>
      </w:r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20" w15:restartNumberingAfterBreak="0">
    <w:nsid w:val="6F6F55A5"/>
    <w:multiLevelType w:val="hybridMultilevel"/>
    <w:tmpl w:val="DEF875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2B7D17"/>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6D12FB"/>
    <w:multiLevelType w:val="hybridMultilevel"/>
    <w:tmpl w:val="2FFEB3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5C5468B"/>
    <w:multiLevelType w:val="hybridMultilevel"/>
    <w:tmpl w:val="FCB69C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9E77208"/>
    <w:multiLevelType w:val="hybridMultilevel"/>
    <w:tmpl w:val="962A6370"/>
    <w:lvl w:ilvl="0" w:tplc="1B201FD6">
      <w:start w:val="1"/>
      <w:numFmt w:val="lowerLetter"/>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25" w15:restartNumberingAfterBreak="0">
    <w:nsid w:val="7A0C6E31"/>
    <w:multiLevelType w:val="hybridMultilevel"/>
    <w:tmpl w:val="C24EB9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3"/>
  </w:num>
  <w:num w:numId="3">
    <w:abstractNumId w:val="19"/>
  </w:num>
  <w:num w:numId="4">
    <w:abstractNumId w:val="2"/>
  </w:num>
  <w:num w:numId="5">
    <w:abstractNumId w:val="12"/>
  </w:num>
  <w:num w:numId="6">
    <w:abstractNumId w:val="3"/>
  </w:num>
  <w:num w:numId="7">
    <w:abstractNumId w:val="17"/>
  </w:num>
  <w:num w:numId="8">
    <w:abstractNumId w:val="18"/>
  </w:num>
  <w:num w:numId="9">
    <w:abstractNumId w:val="1"/>
  </w:num>
  <w:num w:numId="10">
    <w:abstractNumId w:val="14"/>
  </w:num>
  <w:num w:numId="11">
    <w:abstractNumId w:val="7"/>
  </w:num>
  <w:num w:numId="12">
    <w:abstractNumId w:val="24"/>
  </w:num>
  <w:num w:numId="13">
    <w:abstractNumId w:val="8"/>
  </w:num>
  <w:num w:numId="14">
    <w:abstractNumId w:val="0"/>
  </w:num>
  <w:num w:numId="15">
    <w:abstractNumId w:val="22"/>
  </w:num>
  <w:num w:numId="16">
    <w:abstractNumId w:val="16"/>
  </w:num>
  <w:num w:numId="17">
    <w:abstractNumId w:val="9"/>
  </w:num>
  <w:num w:numId="18">
    <w:abstractNumId w:val="20"/>
  </w:num>
  <w:num w:numId="19">
    <w:abstractNumId w:val="6"/>
  </w:num>
  <w:num w:numId="20">
    <w:abstractNumId w:val="11"/>
  </w:num>
  <w:num w:numId="21">
    <w:abstractNumId w:val="15"/>
  </w:num>
  <w:num w:numId="22">
    <w:abstractNumId w:val="5"/>
  </w:num>
  <w:num w:numId="23">
    <w:abstractNumId w:val="4"/>
  </w:num>
  <w:num w:numId="24">
    <w:abstractNumId w:val="21"/>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attachedTemplate r:id="rId1"/>
  <w:documentProtection w:edit="readOnly" w:enforcement="1" w:cryptProviderType="rsaAES" w:cryptAlgorithmClass="hash" w:cryptAlgorithmType="typeAny" w:cryptAlgorithmSid="14" w:cryptSpinCount="100000" w:hash="Zi7NJVP1MSPsroPQo3uyBbalKhKh/xUEfEAdF5Wk4jykEqFQbHjuDG9sY319hGVG2Xt8U3W2BDTh6Ec668qDkQ==" w:salt="2BO+1Hhho2uiArjcSbHUVg=="/>
  <w:defaultTabStop w:val="709"/>
  <w:hyphenationZone w:val="283"/>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90"/>
    <w:rsid w:val="00000C77"/>
    <w:rsid w:val="00032CF3"/>
    <w:rsid w:val="00045F34"/>
    <w:rsid w:val="0006438C"/>
    <w:rsid w:val="00067DB9"/>
    <w:rsid w:val="000718DC"/>
    <w:rsid w:val="000760C3"/>
    <w:rsid w:val="0007633F"/>
    <w:rsid w:val="00084DDF"/>
    <w:rsid w:val="0009413E"/>
    <w:rsid w:val="000967BA"/>
    <w:rsid w:val="000B5750"/>
    <w:rsid w:val="000E08FB"/>
    <w:rsid w:val="000E4797"/>
    <w:rsid w:val="00102E33"/>
    <w:rsid w:val="00107684"/>
    <w:rsid w:val="00113D9F"/>
    <w:rsid w:val="00116216"/>
    <w:rsid w:val="001349A8"/>
    <w:rsid w:val="00135B9D"/>
    <w:rsid w:val="00187669"/>
    <w:rsid w:val="001A02F1"/>
    <w:rsid w:val="001C2697"/>
    <w:rsid w:val="001D4D5C"/>
    <w:rsid w:val="001D6C8B"/>
    <w:rsid w:val="001E3A8B"/>
    <w:rsid w:val="00202E1B"/>
    <w:rsid w:val="002072F5"/>
    <w:rsid w:val="002140CB"/>
    <w:rsid w:val="00231861"/>
    <w:rsid w:val="00236220"/>
    <w:rsid w:val="002436E8"/>
    <w:rsid w:val="002440D3"/>
    <w:rsid w:val="0025228B"/>
    <w:rsid w:val="002604F4"/>
    <w:rsid w:val="00291104"/>
    <w:rsid w:val="002A112D"/>
    <w:rsid w:val="002B2BB9"/>
    <w:rsid w:val="002C1101"/>
    <w:rsid w:val="002D75B6"/>
    <w:rsid w:val="002E4543"/>
    <w:rsid w:val="00306C17"/>
    <w:rsid w:val="0033380E"/>
    <w:rsid w:val="0034036A"/>
    <w:rsid w:val="00346D44"/>
    <w:rsid w:val="003531B7"/>
    <w:rsid w:val="003560B3"/>
    <w:rsid w:val="00360150"/>
    <w:rsid w:val="003606A8"/>
    <w:rsid w:val="0036738C"/>
    <w:rsid w:val="00370D39"/>
    <w:rsid w:val="00372993"/>
    <w:rsid w:val="00374843"/>
    <w:rsid w:val="00381C77"/>
    <w:rsid w:val="003942AB"/>
    <w:rsid w:val="003A56CB"/>
    <w:rsid w:val="003C3716"/>
    <w:rsid w:val="003C5890"/>
    <w:rsid w:val="003C60C1"/>
    <w:rsid w:val="003D0DB7"/>
    <w:rsid w:val="003D588B"/>
    <w:rsid w:val="00406A30"/>
    <w:rsid w:val="004313D9"/>
    <w:rsid w:val="00431719"/>
    <w:rsid w:val="0044389D"/>
    <w:rsid w:val="00443D4A"/>
    <w:rsid w:val="0044474D"/>
    <w:rsid w:val="004572CA"/>
    <w:rsid w:val="00473ED2"/>
    <w:rsid w:val="00476EA3"/>
    <w:rsid w:val="00480E3F"/>
    <w:rsid w:val="00485773"/>
    <w:rsid w:val="004857B8"/>
    <w:rsid w:val="00487B71"/>
    <w:rsid w:val="00491D74"/>
    <w:rsid w:val="004A073A"/>
    <w:rsid w:val="004B17AC"/>
    <w:rsid w:val="004B2C48"/>
    <w:rsid w:val="004B3B5E"/>
    <w:rsid w:val="004C4060"/>
    <w:rsid w:val="004C5EBE"/>
    <w:rsid w:val="004D04B7"/>
    <w:rsid w:val="004D7EBE"/>
    <w:rsid w:val="004E5360"/>
    <w:rsid w:val="004F03ED"/>
    <w:rsid w:val="004F2EFD"/>
    <w:rsid w:val="004F3F41"/>
    <w:rsid w:val="004F683E"/>
    <w:rsid w:val="0052036E"/>
    <w:rsid w:val="00524CDF"/>
    <w:rsid w:val="00560F50"/>
    <w:rsid w:val="00563336"/>
    <w:rsid w:val="00566972"/>
    <w:rsid w:val="00573034"/>
    <w:rsid w:val="005759CD"/>
    <w:rsid w:val="005B26D1"/>
    <w:rsid w:val="005B40C7"/>
    <w:rsid w:val="005B41B7"/>
    <w:rsid w:val="005B5952"/>
    <w:rsid w:val="005C6222"/>
    <w:rsid w:val="005C6729"/>
    <w:rsid w:val="005D6381"/>
    <w:rsid w:val="005D7F92"/>
    <w:rsid w:val="005E39A5"/>
    <w:rsid w:val="005F16CB"/>
    <w:rsid w:val="005F3604"/>
    <w:rsid w:val="005F392B"/>
    <w:rsid w:val="005F527A"/>
    <w:rsid w:val="005F6411"/>
    <w:rsid w:val="0060598B"/>
    <w:rsid w:val="00612A4E"/>
    <w:rsid w:val="006139F5"/>
    <w:rsid w:val="006159ED"/>
    <w:rsid w:val="00622785"/>
    <w:rsid w:val="00622CB6"/>
    <w:rsid w:val="006328CE"/>
    <w:rsid w:val="0063462B"/>
    <w:rsid w:val="0065275C"/>
    <w:rsid w:val="00655B69"/>
    <w:rsid w:val="00662372"/>
    <w:rsid w:val="00683623"/>
    <w:rsid w:val="006A34C5"/>
    <w:rsid w:val="006B4E8D"/>
    <w:rsid w:val="006C20BC"/>
    <w:rsid w:val="006C3EAF"/>
    <w:rsid w:val="006C4530"/>
    <w:rsid w:val="006E6F36"/>
    <w:rsid w:val="006E7A23"/>
    <w:rsid w:val="006F09D3"/>
    <w:rsid w:val="006F2B4D"/>
    <w:rsid w:val="006F4A41"/>
    <w:rsid w:val="00713080"/>
    <w:rsid w:val="007158C8"/>
    <w:rsid w:val="00732190"/>
    <w:rsid w:val="00750C56"/>
    <w:rsid w:val="007558B0"/>
    <w:rsid w:val="00793C24"/>
    <w:rsid w:val="007959F8"/>
    <w:rsid w:val="007A0DEF"/>
    <w:rsid w:val="007A5FA4"/>
    <w:rsid w:val="007B2810"/>
    <w:rsid w:val="007D0ED8"/>
    <w:rsid w:val="007D2457"/>
    <w:rsid w:val="007D7E7B"/>
    <w:rsid w:val="007F1F09"/>
    <w:rsid w:val="008074DA"/>
    <w:rsid w:val="0085523C"/>
    <w:rsid w:val="00855618"/>
    <w:rsid w:val="008571A6"/>
    <w:rsid w:val="00861666"/>
    <w:rsid w:val="008835B0"/>
    <w:rsid w:val="00887359"/>
    <w:rsid w:val="00892A08"/>
    <w:rsid w:val="00897F5F"/>
    <w:rsid w:val="008C078C"/>
    <w:rsid w:val="008E1F2C"/>
    <w:rsid w:val="008E5144"/>
    <w:rsid w:val="008F77D4"/>
    <w:rsid w:val="00902A7D"/>
    <w:rsid w:val="00924A76"/>
    <w:rsid w:val="00932983"/>
    <w:rsid w:val="00936F0E"/>
    <w:rsid w:val="00942CD8"/>
    <w:rsid w:val="00946609"/>
    <w:rsid w:val="009472B5"/>
    <w:rsid w:val="00961A43"/>
    <w:rsid w:val="00972DA2"/>
    <w:rsid w:val="00986B5C"/>
    <w:rsid w:val="00990D8D"/>
    <w:rsid w:val="009A689D"/>
    <w:rsid w:val="009C7631"/>
    <w:rsid w:val="009E6E9D"/>
    <w:rsid w:val="00A540EB"/>
    <w:rsid w:val="00A56BC3"/>
    <w:rsid w:val="00A5717D"/>
    <w:rsid w:val="00AA222B"/>
    <w:rsid w:val="00AC053C"/>
    <w:rsid w:val="00AC22E0"/>
    <w:rsid w:val="00AC3C7C"/>
    <w:rsid w:val="00AD3D1D"/>
    <w:rsid w:val="00AF0B08"/>
    <w:rsid w:val="00AF761D"/>
    <w:rsid w:val="00B06034"/>
    <w:rsid w:val="00B102F0"/>
    <w:rsid w:val="00B36E16"/>
    <w:rsid w:val="00B53C13"/>
    <w:rsid w:val="00B546DB"/>
    <w:rsid w:val="00B578E3"/>
    <w:rsid w:val="00B63189"/>
    <w:rsid w:val="00B67735"/>
    <w:rsid w:val="00B8610A"/>
    <w:rsid w:val="00B9458D"/>
    <w:rsid w:val="00BA470A"/>
    <w:rsid w:val="00BD2125"/>
    <w:rsid w:val="00BE702E"/>
    <w:rsid w:val="00BF2631"/>
    <w:rsid w:val="00BF3408"/>
    <w:rsid w:val="00C02290"/>
    <w:rsid w:val="00C134CD"/>
    <w:rsid w:val="00C14E7B"/>
    <w:rsid w:val="00C20E39"/>
    <w:rsid w:val="00C3564D"/>
    <w:rsid w:val="00C41AA2"/>
    <w:rsid w:val="00C433D1"/>
    <w:rsid w:val="00C51830"/>
    <w:rsid w:val="00C52F37"/>
    <w:rsid w:val="00C54B33"/>
    <w:rsid w:val="00C76101"/>
    <w:rsid w:val="00C77D09"/>
    <w:rsid w:val="00C85534"/>
    <w:rsid w:val="00CC19D2"/>
    <w:rsid w:val="00CC1D01"/>
    <w:rsid w:val="00CD048A"/>
    <w:rsid w:val="00CD1E31"/>
    <w:rsid w:val="00CE1EAF"/>
    <w:rsid w:val="00CE3BA8"/>
    <w:rsid w:val="00CF3945"/>
    <w:rsid w:val="00D111E0"/>
    <w:rsid w:val="00D1212E"/>
    <w:rsid w:val="00D179A5"/>
    <w:rsid w:val="00D27621"/>
    <w:rsid w:val="00D37F9E"/>
    <w:rsid w:val="00D61750"/>
    <w:rsid w:val="00D65F83"/>
    <w:rsid w:val="00D7436D"/>
    <w:rsid w:val="00D74B57"/>
    <w:rsid w:val="00DA28A9"/>
    <w:rsid w:val="00DB2433"/>
    <w:rsid w:val="00DC4E35"/>
    <w:rsid w:val="00DE65C2"/>
    <w:rsid w:val="00E10915"/>
    <w:rsid w:val="00E2269C"/>
    <w:rsid w:val="00E411D6"/>
    <w:rsid w:val="00E438CC"/>
    <w:rsid w:val="00E51DC8"/>
    <w:rsid w:val="00E90133"/>
    <w:rsid w:val="00EB6DFC"/>
    <w:rsid w:val="00EC0882"/>
    <w:rsid w:val="00EC4E76"/>
    <w:rsid w:val="00EC7A4C"/>
    <w:rsid w:val="00ED0D13"/>
    <w:rsid w:val="00EE124B"/>
    <w:rsid w:val="00EE335A"/>
    <w:rsid w:val="00EE70D7"/>
    <w:rsid w:val="00EF0DB8"/>
    <w:rsid w:val="00EF4305"/>
    <w:rsid w:val="00EF5176"/>
    <w:rsid w:val="00F02732"/>
    <w:rsid w:val="00F15B10"/>
    <w:rsid w:val="00F22F0B"/>
    <w:rsid w:val="00F54DCD"/>
    <w:rsid w:val="00F54E66"/>
    <w:rsid w:val="00F619DB"/>
    <w:rsid w:val="00F71103"/>
    <w:rsid w:val="00F77740"/>
    <w:rsid w:val="00F910C7"/>
    <w:rsid w:val="00F93A9E"/>
    <w:rsid w:val="00FC365A"/>
    <w:rsid w:val="00FD0E8A"/>
    <w:rsid w:val="00FD5285"/>
    <w:rsid w:val="00FE6105"/>
    <w:rsid w:val="00FF269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EC423EC7-031C-4B44-B992-A4F10D3A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589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000C77"/>
    <w:pPr>
      <w:keepNext/>
      <w:spacing w:before="240" w:after="240"/>
      <w:jc w:val="both"/>
      <w:outlineLvl w:val="0"/>
    </w:pPr>
    <w:rPr>
      <w:rFonts w:ascii="Verdana" w:hAnsi="Verdana"/>
      <w:b/>
      <w:sz w:val="20"/>
      <w:szCs w:val="20"/>
      <w:u w:val="single"/>
    </w:rPr>
  </w:style>
  <w:style w:type="paragraph" w:styleId="Titolo2">
    <w:name w:val="heading 2"/>
    <w:basedOn w:val="Normale"/>
    <w:next w:val="Normale"/>
    <w:link w:val="Titolo2Carattere"/>
    <w:uiPriority w:val="9"/>
    <w:unhideWhenUsed/>
    <w:qFormat/>
    <w:rsid w:val="00BE702E"/>
    <w:pPr>
      <w:keepNext/>
      <w:spacing w:before="240"/>
      <w:ind w:left="993"/>
      <w:jc w:val="both"/>
      <w:outlineLvl w:val="1"/>
    </w:pPr>
    <w:rPr>
      <w:rFonts w:ascii="Calibri" w:hAnsi="Calibri"/>
      <w:b/>
      <w:sz w:val="22"/>
      <w:szCs w:val="22"/>
    </w:rPr>
  </w:style>
  <w:style w:type="paragraph" w:styleId="Titolo3">
    <w:name w:val="heading 3"/>
    <w:basedOn w:val="Normale"/>
    <w:next w:val="Normale"/>
    <w:link w:val="Titolo3Carattere"/>
    <w:uiPriority w:val="9"/>
    <w:semiHidden/>
    <w:unhideWhenUsed/>
    <w:qFormat/>
    <w:rsid w:val="00BE702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5F16CB"/>
    <w:pPr>
      <w:keepNext/>
      <w:spacing w:before="240"/>
      <w:ind w:left="1560" w:hanging="567"/>
      <w:jc w:val="both"/>
      <w:outlineLvl w:val="3"/>
    </w:pPr>
    <w:rPr>
      <w:rFonts w:asciiTheme="minorHAnsi" w:hAnsiTheme="minorHAnsi"/>
      <w:b/>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7DB9"/>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67DB9"/>
    <w:rPr>
      <w:rFonts w:ascii="Tahoma" w:hAnsi="Tahoma" w:cs="Tahoma"/>
      <w:sz w:val="16"/>
      <w:szCs w:val="16"/>
    </w:rPr>
  </w:style>
  <w:style w:type="paragraph" w:customStyle="1" w:styleId="Default">
    <w:name w:val="Default"/>
    <w:rsid w:val="0063462B"/>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M2">
    <w:name w:val="CM2"/>
    <w:basedOn w:val="Default"/>
    <w:next w:val="Default"/>
    <w:uiPriority w:val="99"/>
    <w:rsid w:val="00C134CD"/>
    <w:rPr>
      <w:rFonts w:cstheme="minorBidi"/>
      <w:color w:val="auto"/>
    </w:rPr>
  </w:style>
  <w:style w:type="paragraph" w:styleId="Intestazione">
    <w:name w:val="header"/>
    <w:basedOn w:val="Normale"/>
    <w:link w:val="IntestazioneCarattere"/>
    <w:uiPriority w:val="99"/>
    <w:unhideWhenUsed/>
    <w:rsid w:val="00443D4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43D4A"/>
  </w:style>
  <w:style w:type="paragraph" w:styleId="Pidipagina">
    <w:name w:val="footer"/>
    <w:basedOn w:val="Normale"/>
    <w:link w:val="PidipaginaCarattere"/>
    <w:uiPriority w:val="99"/>
    <w:unhideWhenUsed/>
    <w:rsid w:val="00443D4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43D4A"/>
  </w:style>
  <w:style w:type="character" w:styleId="Enfasicorsivo">
    <w:name w:val="Emphasis"/>
    <w:qFormat/>
    <w:rsid w:val="003C5890"/>
    <w:rPr>
      <w:i/>
      <w:iCs/>
    </w:rPr>
  </w:style>
  <w:style w:type="paragraph" w:styleId="Rientrocorpodeltesto">
    <w:name w:val="Body Text Indent"/>
    <w:basedOn w:val="Normale"/>
    <w:link w:val="RientrocorpodeltestoCarattere"/>
    <w:rsid w:val="003C5890"/>
    <w:pPr>
      <w:spacing w:after="120"/>
      <w:ind w:left="283"/>
    </w:pPr>
  </w:style>
  <w:style w:type="character" w:customStyle="1" w:styleId="RientrocorpodeltestoCarattere">
    <w:name w:val="Rientro corpo del testo Carattere"/>
    <w:basedOn w:val="Carpredefinitoparagrafo"/>
    <w:link w:val="Rientrocorpodeltesto"/>
    <w:rsid w:val="003C5890"/>
    <w:rPr>
      <w:rFonts w:ascii="Times New Roman" w:eastAsia="Times New Roman" w:hAnsi="Times New Roman" w:cs="Times New Roman"/>
      <w:sz w:val="24"/>
      <w:szCs w:val="24"/>
      <w:lang w:eastAsia="it-IT"/>
    </w:rPr>
  </w:style>
  <w:style w:type="character" w:styleId="Collegamentoipertestuale">
    <w:name w:val="Hyperlink"/>
    <w:rsid w:val="003C5890"/>
    <w:rPr>
      <w:color w:val="0000FF"/>
      <w:u w:val="single"/>
    </w:rPr>
  </w:style>
  <w:style w:type="character" w:customStyle="1" w:styleId="Titolo1Carattere">
    <w:name w:val="Titolo 1 Carattere"/>
    <w:basedOn w:val="Carpredefinitoparagrafo"/>
    <w:link w:val="Titolo1"/>
    <w:uiPriority w:val="9"/>
    <w:rsid w:val="00000C77"/>
    <w:rPr>
      <w:rFonts w:ascii="Verdana" w:eastAsia="Times New Roman" w:hAnsi="Verdana" w:cs="Times New Roman"/>
      <w:b/>
      <w:sz w:val="20"/>
      <w:szCs w:val="20"/>
      <w:u w:val="single"/>
      <w:lang w:eastAsia="it-IT"/>
    </w:rPr>
  </w:style>
  <w:style w:type="paragraph" w:styleId="Rientrocorpodeltesto2">
    <w:name w:val="Body Text Indent 2"/>
    <w:basedOn w:val="Normale"/>
    <w:link w:val="Rientrocorpodeltesto2Carattere"/>
    <w:uiPriority w:val="99"/>
    <w:unhideWhenUsed/>
    <w:rsid w:val="00000C77"/>
    <w:pPr>
      <w:ind w:left="1560"/>
      <w:jc w:val="both"/>
    </w:pPr>
    <w:rPr>
      <w:rFonts w:ascii="Calibri" w:eastAsiaTheme="minorHAnsi" w:hAnsi="Calibri" w:cs="Calibri"/>
      <w:color w:val="000000"/>
      <w:sz w:val="20"/>
      <w:szCs w:val="20"/>
      <w:lang w:eastAsia="en-US"/>
    </w:rPr>
  </w:style>
  <w:style w:type="character" w:customStyle="1" w:styleId="Rientrocorpodeltesto2Carattere">
    <w:name w:val="Rientro corpo del testo 2 Carattere"/>
    <w:basedOn w:val="Carpredefinitoparagrafo"/>
    <w:link w:val="Rientrocorpodeltesto2"/>
    <w:uiPriority w:val="99"/>
    <w:rsid w:val="00000C77"/>
    <w:rPr>
      <w:rFonts w:ascii="Calibri" w:hAnsi="Calibri" w:cs="Calibri"/>
      <w:color w:val="000000"/>
      <w:sz w:val="20"/>
      <w:szCs w:val="20"/>
    </w:rPr>
  </w:style>
  <w:style w:type="paragraph" w:styleId="Rientrocorpodeltesto3">
    <w:name w:val="Body Text Indent 3"/>
    <w:basedOn w:val="Normale"/>
    <w:link w:val="Rientrocorpodeltesto3Carattere"/>
    <w:uiPriority w:val="99"/>
    <w:unhideWhenUsed/>
    <w:rsid w:val="00000C77"/>
    <w:pPr>
      <w:autoSpaceDE w:val="0"/>
      <w:autoSpaceDN w:val="0"/>
      <w:adjustRightInd w:val="0"/>
      <w:ind w:left="1560"/>
    </w:pPr>
    <w:rPr>
      <w:rFonts w:asciiTheme="minorHAnsi" w:eastAsiaTheme="minorHAnsi" w:hAnsiTheme="minorHAnsi" w:cs="Trebuchet MS"/>
      <w:color w:val="000000"/>
      <w:sz w:val="22"/>
      <w:szCs w:val="22"/>
      <w:lang w:eastAsia="en-US"/>
    </w:rPr>
  </w:style>
  <w:style w:type="character" w:customStyle="1" w:styleId="Rientrocorpodeltesto3Carattere">
    <w:name w:val="Rientro corpo del testo 3 Carattere"/>
    <w:basedOn w:val="Carpredefinitoparagrafo"/>
    <w:link w:val="Rientrocorpodeltesto3"/>
    <w:uiPriority w:val="99"/>
    <w:rsid w:val="00000C77"/>
    <w:rPr>
      <w:rFonts w:cs="Trebuchet MS"/>
      <w:color w:val="000000"/>
    </w:rPr>
  </w:style>
  <w:style w:type="character" w:customStyle="1" w:styleId="Titolo2Carattere">
    <w:name w:val="Titolo 2 Carattere"/>
    <w:basedOn w:val="Carpredefinitoparagrafo"/>
    <w:link w:val="Titolo2"/>
    <w:uiPriority w:val="9"/>
    <w:rsid w:val="00BE702E"/>
    <w:rPr>
      <w:rFonts w:ascii="Calibri" w:eastAsia="Times New Roman" w:hAnsi="Calibri" w:cs="Times New Roman"/>
      <w:b/>
      <w:lang w:eastAsia="it-IT"/>
    </w:rPr>
  </w:style>
  <w:style w:type="character" w:customStyle="1" w:styleId="Titolo3Carattere">
    <w:name w:val="Titolo 3 Carattere"/>
    <w:basedOn w:val="Carpredefinitoparagrafo"/>
    <w:link w:val="Titolo3"/>
    <w:uiPriority w:val="9"/>
    <w:semiHidden/>
    <w:rsid w:val="00BE702E"/>
    <w:rPr>
      <w:rFonts w:asciiTheme="majorHAnsi" w:eastAsiaTheme="majorEastAsia" w:hAnsiTheme="majorHAnsi" w:cstheme="majorBidi"/>
      <w:b/>
      <w:bCs/>
      <w:color w:val="4F81BD" w:themeColor="accent1"/>
      <w:sz w:val="24"/>
      <w:szCs w:val="24"/>
      <w:lang w:eastAsia="it-IT"/>
    </w:rPr>
  </w:style>
  <w:style w:type="paragraph" w:styleId="Paragrafoelenco">
    <w:name w:val="List Paragraph"/>
    <w:basedOn w:val="Normale"/>
    <w:link w:val="ParagrafoelencoCarattere"/>
    <w:uiPriority w:val="34"/>
    <w:qFormat/>
    <w:rsid w:val="00BE702E"/>
    <w:pPr>
      <w:ind w:left="720"/>
      <w:contextualSpacing/>
    </w:pPr>
  </w:style>
  <w:style w:type="character" w:customStyle="1" w:styleId="Titolo4Carattere">
    <w:name w:val="Titolo 4 Carattere"/>
    <w:basedOn w:val="Carpredefinitoparagrafo"/>
    <w:link w:val="Titolo4"/>
    <w:uiPriority w:val="9"/>
    <w:rsid w:val="005F16CB"/>
    <w:rPr>
      <w:rFonts w:eastAsia="Times New Roman" w:cs="Times New Roman"/>
      <w:b/>
      <w:u w:val="single"/>
      <w:lang w:eastAsia="it-IT"/>
    </w:rPr>
  </w:style>
  <w:style w:type="character" w:styleId="Rimandocommento">
    <w:name w:val="annotation reference"/>
    <w:basedOn w:val="Carpredefinitoparagrafo"/>
    <w:uiPriority w:val="99"/>
    <w:unhideWhenUsed/>
    <w:rsid w:val="004C5EBE"/>
    <w:rPr>
      <w:sz w:val="16"/>
      <w:szCs w:val="16"/>
    </w:rPr>
  </w:style>
  <w:style w:type="paragraph" w:styleId="Testocommento">
    <w:name w:val="annotation text"/>
    <w:basedOn w:val="Normale"/>
    <w:link w:val="TestocommentoCarattere"/>
    <w:uiPriority w:val="99"/>
    <w:unhideWhenUsed/>
    <w:rsid w:val="004C5EBE"/>
    <w:rPr>
      <w:sz w:val="20"/>
      <w:szCs w:val="20"/>
    </w:rPr>
  </w:style>
  <w:style w:type="character" w:customStyle="1" w:styleId="TestocommentoCarattere">
    <w:name w:val="Testo commento Carattere"/>
    <w:basedOn w:val="Carpredefinitoparagrafo"/>
    <w:link w:val="Testocommento"/>
    <w:uiPriority w:val="99"/>
    <w:rsid w:val="004C5EBE"/>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C5EBE"/>
    <w:rPr>
      <w:b/>
      <w:bCs/>
    </w:rPr>
  </w:style>
  <w:style w:type="character" w:customStyle="1" w:styleId="SoggettocommentoCarattere">
    <w:name w:val="Soggetto commento Carattere"/>
    <w:basedOn w:val="TestocommentoCarattere"/>
    <w:link w:val="Soggettocommento"/>
    <w:uiPriority w:val="99"/>
    <w:semiHidden/>
    <w:rsid w:val="004C5EBE"/>
    <w:rPr>
      <w:rFonts w:ascii="Times New Roman" w:eastAsia="Times New Roman" w:hAnsi="Times New Roman" w:cs="Times New Roman"/>
      <w:b/>
      <w:bCs/>
      <w:sz w:val="20"/>
      <w:szCs w:val="20"/>
      <w:lang w:eastAsia="it-IT"/>
    </w:rPr>
  </w:style>
  <w:style w:type="character" w:customStyle="1" w:styleId="ParagrafoelencoCarattere">
    <w:name w:val="Paragrafo elenco Carattere"/>
    <w:basedOn w:val="Carpredefinitoparagrafo"/>
    <w:link w:val="Paragrafoelenco"/>
    <w:uiPriority w:val="34"/>
    <w:rsid w:val="00BD2125"/>
    <w:rPr>
      <w:rFonts w:ascii="Times New Roman" w:eastAsia="Times New Roman" w:hAnsi="Times New Roman" w:cs="Times New Roman"/>
      <w:sz w:val="24"/>
      <w:szCs w:val="24"/>
      <w:lang w:eastAsia="it-IT"/>
    </w:rPr>
  </w:style>
  <w:style w:type="paragraph" w:customStyle="1" w:styleId="Body">
    <w:name w:val="Body"/>
    <w:aliases w:val="by"/>
    <w:basedOn w:val="Normale"/>
    <w:rsid w:val="009A689D"/>
    <w:pPr>
      <w:spacing w:after="260" w:line="260" w:lineRule="exact"/>
      <w:jc w:val="both"/>
    </w:pPr>
    <w:rPr>
      <w:rFonts w:ascii="Times" w:hAnsi="Times"/>
      <w:sz w:val="22"/>
      <w:szCs w:val="20"/>
    </w:rPr>
  </w:style>
  <w:style w:type="character" w:styleId="Collegamentovisitato">
    <w:name w:val="FollowedHyperlink"/>
    <w:basedOn w:val="Carpredefinitoparagrafo"/>
    <w:uiPriority w:val="99"/>
    <w:semiHidden/>
    <w:unhideWhenUsed/>
    <w:rsid w:val="0033380E"/>
    <w:rPr>
      <w:color w:val="800080" w:themeColor="followedHyperlink"/>
      <w:u w:val="single"/>
    </w:rPr>
  </w:style>
  <w:style w:type="character" w:customStyle="1" w:styleId="Menzionenonrisolta1">
    <w:name w:val="Menzione non risolta1"/>
    <w:basedOn w:val="Carpredefinitoparagrafo"/>
    <w:uiPriority w:val="99"/>
    <w:semiHidden/>
    <w:unhideWhenUsed/>
    <w:rsid w:val="00DC4E35"/>
    <w:rPr>
      <w:color w:val="605E5C"/>
      <w:shd w:val="clear" w:color="auto" w:fill="E1DFDD"/>
    </w:rPr>
  </w:style>
  <w:style w:type="character" w:styleId="Menzionenonrisolta">
    <w:name w:val="Unresolved Mention"/>
    <w:basedOn w:val="Carpredefinitoparagrafo"/>
    <w:uiPriority w:val="99"/>
    <w:semiHidden/>
    <w:unhideWhenUsed/>
    <w:rsid w:val="00807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8138">
      <w:bodyDiv w:val="1"/>
      <w:marLeft w:val="0"/>
      <w:marRight w:val="0"/>
      <w:marTop w:val="0"/>
      <w:marBottom w:val="0"/>
      <w:divBdr>
        <w:top w:val="none" w:sz="0" w:space="0" w:color="auto"/>
        <w:left w:val="none" w:sz="0" w:space="0" w:color="auto"/>
        <w:bottom w:val="none" w:sz="0" w:space="0" w:color="auto"/>
        <w:right w:val="none" w:sz="0" w:space="0" w:color="auto"/>
      </w:divBdr>
    </w:div>
    <w:div w:id="65304785">
      <w:bodyDiv w:val="1"/>
      <w:marLeft w:val="0"/>
      <w:marRight w:val="0"/>
      <w:marTop w:val="0"/>
      <w:marBottom w:val="0"/>
      <w:divBdr>
        <w:top w:val="none" w:sz="0" w:space="0" w:color="auto"/>
        <w:left w:val="none" w:sz="0" w:space="0" w:color="auto"/>
        <w:bottom w:val="none" w:sz="0" w:space="0" w:color="auto"/>
        <w:right w:val="none" w:sz="0" w:space="0" w:color="auto"/>
      </w:divBdr>
    </w:div>
    <w:div w:id="228998067">
      <w:bodyDiv w:val="1"/>
      <w:marLeft w:val="0"/>
      <w:marRight w:val="0"/>
      <w:marTop w:val="0"/>
      <w:marBottom w:val="0"/>
      <w:divBdr>
        <w:top w:val="none" w:sz="0" w:space="0" w:color="auto"/>
        <w:left w:val="none" w:sz="0" w:space="0" w:color="auto"/>
        <w:bottom w:val="none" w:sz="0" w:space="0" w:color="auto"/>
        <w:right w:val="none" w:sz="0" w:space="0" w:color="auto"/>
      </w:divBdr>
    </w:div>
    <w:div w:id="260181792">
      <w:bodyDiv w:val="1"/>
      <w:marLeft w:val="0"/>
      <w:marRight w:val="0"/>
      <w:marTop w:val="0"/>
      <w:marBottom w:val="0"/>
      <w:divBdr>
        <w:top w:val="none" w:sz="0" w:space="0" w:color="auto"/>
        <w:left w:val="none" w:sz="0" w:space="0" w:color="auto"/>
        <w:bottom w:val="none" w:sz="0" w:space="0" w:color="auto"/>
        <w:right w:val="none" w:sz="0" w:space="0" w:color="auto"/>
      </w:divBdr>
    </w:div>
    <w:div w:id="310528360">
      <w:bodyDiv w:val="1"/>
      <w:marLeft w:val="0"/>
      <w:marRight w:val="0"/>
      <w:marTop w:val="0"/>
      <w:marBottom w:val="0"/>
      <w:divBdr>
        <w:top w:val="none" w:sz="0" w:space="0" w:color="auto"/>
        <w:left w:val="none" w:sz="0" w:space="0" w:color="auto"/>
        <w:bottom w:val="none" w:sz="0" w:space="0" w:color="auto"/>
        <w:right w:val="none" w:sz="0" w:space="0" w:color="auto"/>
      </w:divBdr>
    </w:div>
    <w:div w:id="407730887">
      <w:bodyDiv w:val="1"/>
      <w:marLeft w:val="0"/>
      <w:marRight w:val="0"/>
      <w:marTop w:val="0"/>
      <w:marBottom w:val="0"/>
      <w:divBdr>
        <w:top w:val="none" w:sz="0" w:space="0" w:color="auto"/>
        <w:left w:val="none" w:sz="0" w:space="0" w:color="auto"/>
        <w:bottom w:val="none" w:sz="0" w:space="0" w:color="auto"/>
        <w:right w:val="none" w:sz="0" w:space="0" w:color="auto"/>
      </w:divBdr>
    </w:div>
    <w:div w:id="536814080">
      <w:bodyDiv w:val="1"/>
      <w:marLeft w:val="0"/>
      <w:marRight w:val="0"/>
      <w:marTop w:val="0"/>
      <w:marBottom w:val="0"/>
      <w:divBdr>
        <w:top w:val="none" w:sz="0" w:space="0" w:color="auto"/>
        <w:left w:val="none" w:sz="0" w:space="0" w:color="auto"/>
        <w:bottom w:val="none" w:sz="0" w:space="0" w:color="auto"/>
        <w:right w:val="none" w:sz="0" w:space="0" w:color="auto"/>
      </w:divBdr>
    </w:div>
    <w:div w:id="625353821">
      <w:bodyDiv w:val="1"/>
      <w:marLeft w:val="0"/>
      <w:marRight w:val="0"/>
      <w:marTop w:val="0"/>
      <w:marBottom w:val="0"/>
      <w:divBdr>
        <w:top w:val="none" w:sz="0" w:space="0" w:color="auto"/>
        <w:left w:val="none" w:sz="0" w:space="0" w:color="auto"/>
        <w:bottom w:val="none" w:sz="0" w:space="0" w:color="auto"/>
        <w:right w:val="none" w:sz="0" w:space="0" w:color="auto"/>
      </w:divBdr>
    </w:div>
    <w:div w:id="845482597">
      <w:bodyDiv w:val="1"/>
      <w:marLeft w:val="0"/>
      <w:marRight w:val="0"/>
      <w:marTop w:val="0"/>
      <w:marBottom w:val="0"/>
      <w:divBdr>
        <w:top w:val="none" w:sz="0" w:space="0" w:color="auto"/>
        <w:left w:val="none" w:sz="0" w:space="0" w:color="auto"/>
        <w:bottom w:val="none" w:sz="0" w:space="0" w:color="auto"/>
        <w:right w:val="none" w:sz="0" w:space="0" w:color="auto"/>
      </w:divBdr>
    </w:div>
    <w:div w:id="1189566289">
      <w:bodyDiv w:val="1"/>
      <w:marLeft w:val="0"/>
      <w:marRight w:val="0"/>
      <w:marTop w:val="0"/>
      <w:marBottom w:val="0"/>
      <w:divBdr>
        <w:top w:val="none" w:sz="0" w:space="0" w:color="auto"/>
        <w:left w:val="none" w:sz="0" w:space="0" w:color="auto"/>
        <w:bottom w:val="none" w:sz="0" w:space="0" w:color="auto"/>
        <w:right w:val="none" w:sz="0" w:space="0" w:color="auto"/>
      </w:divBdr>
    </w:div>
    <w:div w:id="1471246267">
      <w:bodyDiv w:val="1"/>
      <w:marLeft w:val="0"/>
      <w:marRight w:val="0"/>
      <w:marTop w:val="0"/>
      <w:marBottom w:val="0"/>
      <w:divBdr>
        <w:top w:val="none" w:sz="0" w:space="0" w:color="auto"/>
        <w:left w:val="none" w:sz="0" w:space="0" w:color="auto"/>
        <w:bottom w:val="none" w:sz="0" w:space="0" w:color="auto"/>
        <w:right w:val="none" w:sz="0" w:space="0" w:color="auto"/>
      </w:divBdr>
    </w:div>
    <w:div w:id="1501777118">
      <w:bodyDiv w:val="1"/>
      <w:marLeft w:val="0"/>
      <w:marRight w:val="0"/>
      <w:marTop w:val="0"/>
      <w:marBottom w:val="0"/>
      <w:divBdr>
        <w:top w:val="none" w:sz="0" w:space="0" w:color="auto"/>
        <w:left w:val="none" w:sz="0" w:space="0" w:color="auto"/>
        <w:bottom w:val="none" w:sz="0" w:space="0" w:color="auto"/>
        <w:right w:val="none" w:sz="0" w:space="0" w:color="auto"/>
      </w:divBdr>
    </w:div>
    <w:div w:id="1600216472">
      <w:bodyDiv w:val="1"/>
      <w:marLeft w:val="0"/>
      <w:marRight w:val="0"/>
      <w:marTop w:val="0"/>
      <w:marBottom w:val="0"/>
      <w:divBdr>
        <w:top w:val="none" w:sz="0" w:space="0" w:color="auto"/>
        <w:left w:val="none" w:sz="0" w:space="0" w:color="auto"/>
        <w:bottom w:val="none" w:sz="0" w:space="0" w:color="auto"/>
        <w:right w:val="none" w:sz="0" w:space="0" w:color="auto"/>
      </w:divBdr>
    </w:div>
    <w:div w:id="17609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padc.it/la-cassa/cnpadc-trasparente/bandi-di-gare-e-contratti/gare.html" TargetMode="External"/><Relationship Id="rId13" Type="http://schemas.openxmlformats.org/officeDocument/2006/relationships/hyperlink" Target="mailto:g.mungari@cnpadc.i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zio.acquisti@pec.cnpadc.it" TargetMode="External"/><Relationship Id="rId17" Type="http://schemas.openxmlformats.org/officeDocument/2006/relationships/hyperlink" Target="http://www.anac.it" TargetMode="External"/><Relationship Id="rId2" Type="http://schemas.openxmlformats.org/officeDocument/2006/relationships/numbering" Target="numbering.xml"/><Relationship Id="rId16" Type="http://schemas.openxmlformats.org/officeDocument/2006/relationships/hyperlink" Target="mailto:servizio.acquisti@pec.cnpadc.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padc.it/la-cassa/cnpadc-trasparente/bandi-di-gare-e-contratti/gare.html" TargetMode="External"/><Relationship Id="rId5" Type="http://schemas.openxmlformats.org/officeDocument/2006/relationships/webSettings" Target="webSettings.xml"/><Relationship Id="rId15" Type="http://schemas.openxmlformats.org/officeDocument/2006/relationships/hyperlink" Target="mailto:g.mungari@cnpadc.it" TargetMode="External"/><Relationship Id="rId10" Type="http://schemas.openxmlformats.org/officeDocument/2006/relationships/hyperlink" Target="mailto:servizioacquisiti@cnpadc.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npadc.it" TargetMode="External"/><Relationship Id="rId14" Type="http://schemas.openxmlformats.org/officeDocument/2006/relationships/hyperlink" Target="https://www.cnpadc.it/la-cassa/cnpadc-trasparente/bandi-di-gare-e-contratti/gar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FACSIMILI%20E%20DICHIARAZIONI\Carta%20Intestata%20Foglio%202%20v1.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840E-8BEF-4BEF-91CD-3B3F6A85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Foglio 2 v1.1</Template>
  <TotalTime>1</TotalTime>
  <Pages>5</Pages>
  <Words>3320</Words>
  <Characters>18925</Characters>
  <Application>Microsoft Office Word</Application>
  <DocSecurity>12</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Petrolati</dc:creator>
  <cp:keywords/>
  <dc:description/>
  <cp:lastModifiedBy>Silvia Petrolati</cp:lastModifiedBy>
  <cp:revision>2</cp:revision>
  <cp:lastPrinted>2018-07-30T08:54:00Z</cp:lastPrinted>
  <dcterms:created xsi:type="dcterms:W3CDTF">2018-08-03T07:08:00Z</dcterms:created>
  <dcterms:modified xsi:type="dcterms:W3CDTF">2018-08-03T07:08:00Z</dcterms:modified>
</cp:coreProperties>
</file>